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778F5A" w14:textId="77777777" w:rsidR="000F72CD" w:rsidRDefault="000F72CD" w:rsidP="000F72CD">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ISTANZA DI PARTECIPAZIONE E DICHIARAZIONE (INTEGRATIVA AL DGUE) PER L’AMMISSIONE ALLA GARA</w:t>
      </w:r>
    </w:p>
    <w:p w14:paraId="55C32B30" w14:textId="77777777" w:rsidR="000F72CD" w:rsidRDefault="000F72CD" w:rsidP="000F72CD">
      <w:pPr>
        <w:spacing w:after="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3B5CB2D2" w14:textId="77777777" w:rsidR="000F72CD" w:rsidRDefault="000F72CD" w:rsidP="000F72CD">
      <w:pPr>
        <w:spacing w:after="0" w:line="240" w:lineRule="auto"/>
        <w:jc w:val="center"/>
        <w:rPr>
          <w:rFonts w:ascii="Tahoma" w:eastAsia="Times New Roman" w:hAnsi="Tahoma" w:cs="Tahoma"/>
          <w:sz w:val="18"/>
          <w:szCs w:val="18"/>
        </w:rPr>
      </w:pPr>
    </w:p>
    <w:p w14:paraId="6E44E8B8" w14:textId="77777777" w:rsidR="000F72CD" w:rsidRDefault="000F72CD" w:rsidP="000F72CD">
      <w:pPr>
        <w:spacing w:after="0" w:line="240" w:lineRule="auto"/>
        <w:ind w:left="5103"/>
        <w:jc w:val="both"/>
        <w:rPr>
          <w:rFonts w:ascii="Tahoma" w:eastAsia="Times New Roman" w:hAnsi="Tahoma" w:cs="Tahoma"/>
          <w:bCs/>
          <w:sz w:val="20"/>
          <w:szCs w:val="20"/>
        </w:rPr>
      </w:pPr>
      <w:r>
        <w:rPr>
          <w:rFonts w:ascii="Tahoma" w:eastAsia="Times New Roman" w:hAnsi="Tahoma" w:cs="Tahoma"/>
          <w:bCs/>
          <w:sz w:val="20"/>
          <w:szCs w:val="20"/>
        </w:rPr>
        <w:t>Alla Provincia di Piacenza</w:t>
      </w:r>
    </w:p>
    <w:p w14:paraId="64A0D127" w14:textId="77777777" w:rsidR="000F72CD" w:rsidRDefault="000F72CD" w:rsidP="000F72CD">
      <w:pPr>
        <w:spacing w:after="0" w:line="240" w:lineRule="auto"/>
        <w:ind w:left="5103"/>
        <w:jc w:val="both"/>
        <w:rPr>
          <w:rFonts w:ascii="Tahoma" w:eastAsia="Times New Roman" w:hAnsi="Tahoma" w:cs="Tahoma"/>
          <w:sz w:val="20"/>
          <w:szCs w:val="20"/>
        </w:rPr>
      </w:pPr>
      <w:r>
        <w:rPr>
          <w:rFonts w:ascii="Tahoma" w:eastAsia="Times New Roman" w:hAnsi="Tahoma" w:cs="Tahoma"/>
          <w:bCs/>
          <w:sz w:val="20"/>
          <w:szCs w:val="20"/>
        </w:rPr>
        <w:t>Corso Garibaldi, 50</w:t>
      </w:r>
    </w:p>
    <w:p w14:paraId="0884BE2E" w14:textId="77777777" w:rsidR="000F72CD" w:rsidRDefault="000F72CD" w:rsidP="000F72CD">
      <w:pPr>
        <w:spacing w:after="0" w:line="240" w:lineRule="auto"/>
        <w:ind w:left="5103"/>
        <w:jc w:val="both"/>
        <w:rPr>
          <w:rFonts w:ascii="Tahoma" w:eastAsia="Times New Roman" w:hAnsi="Tahoma" w:cs="Tahoma"/>
          <w:sz w:val="18"/>
          <w:szCs w:val="18"/>
        </w:rPr>
      </w:pPr>
      <w:r>
        <w:rPr>
          <w:rFonts w:ascii="Tahoma" w:eastAsia="Times New Roman" w:hAnsi="Tahoma" w:cs="Tahoma"/>
          <w:sz w:val="20"/>
          <w:szCs w:val="20"/>
        </w:rPr>
        <w:t>29121 Piacenza (PC)</w:t>
      </w:r>
    </w:p>
    <w:p w14:paraId="6780AB99" w14:textId="77777777" w:rsidR="000F72CD" w:rsidRDefault="000F72CD" w:rsidP="000F72CD">
      <w:pPr>
        <w:spacing w:after="0" w:line="240" w:lineRule="auto"/>
        <w:jc w:val="both"/>
        <w:rPr>
          <w:rFonts w:ascii="Tahoma" w:eastAsia="Times New Roman" w:hAnsi="Tahoma" w:cs="Tahoma"/>
          <w:sz w:val="18"/>
          <w:szCs w:val="18"/>
        </w:rPr>
      </w:pPr>
    </w:p>
    <w:p w14:paraId="7FB5B6AC" w14:textId="77777777" w:rsidR="00774F38" w:rsidRDefault="00774F38" w:rsidP="00D870C2">
      <w:pPr>
        <w:pStyle w:val="Corpotesto"/>
        <w:spacing w:after="360"/>
        <w:ind w:right="227"/>
        <w:jc w:val="both"/>
        <w:rPr>
          <w:rFonts w:eastAsia="Times New Roman"/>
          <w:b/>
          <w:sz w:val="20"/>
          <w:szCs w:val="20"/>
          <w:u w:val="single"/>
        </w:rPr>
      </w:pPr>
    </w:p>
    <w:p w14:paraId="79947E2F" w14:textId="3D5F5B74" w:rsidR="00D870C2" w:rsidRDefault="000F72CD" w:rsidP="00D870C2">
      <w:pPr>
        <w:pStyle w:val="Corpotesto"/>
        <w:spacing w:after="360"/>
        <w:ind w:right="227"/>
        <w:jc w:val="both"/>
        <w:rPr>
          <w:rFonts w:eastAsia="Times New Roman"/>
          <w:b/>
          <w:bCs/>
          <w:sz w:val="20"/>
          <w:szCs w:val="20"/>
          <w:lang w:val="it-IT" w:eastAsia="it-IT" w:bidi="it-IT"/>
        </w:rPr>
      </w:pPr>
      <w:r w:rsidRPr="00D237CD">
        <w:rPr>
          <w:rFonts w:eastAsia="Times New Roman"/>
          <w:b/>
          <w:sz w:val="20"/>
          <w:szCs w:val="20"/>
          <w:u w:val="single"/>
        </w:rPr>
        <w:t>OGGETTO:</w:t>
      </w:r>
      <w:r w:rsidRPr="00D237CD">
        <w:rPr>
          <w:rFonts w:eastAsia="Times New Roman"/>
          <w:b/>
          <w:sz w:val="20"/>
          <w:szCs w:val="20"/>
        </w:rPr>
        <w:t xml:space="preserve"> </w:t>
      </w:r>
      <w:bookmarkStart w:id="0" w:name="_Hlk84240141"/>
      <w:bookmarkStart w:id="1" w:name="_Hlk95288322"/>
      <w:r w:rsidR="001065B1" w:rsidRPr="001065B1">
        <w:rPr>
          <w:rFonts w:eastAsia="Times New Roman"/>
          <w:b/>
          <w:bCs/>
          <w:sz w:val="20"/>
          <w:szCs w:val="20"/>
          <w:lang w:val="de-DE" w:eastAsia="it-IT" w:bidi="it-IT"/>
        </w:rPr>
        <w:t xml:space="preserve">PROCEDURA APERTA PER L’AFFIDAMENTO DEI LAVORI DI CUI AL PROGETTO DENOMINATO </w:t>
      </w:r>
      <w:bookmarkEnd w:id="0"/>
      <w:r w:rsidR="001065B1" w:rsidRPr="001065B1">
        <w:rPr>
          <w:rFonts w:eastAsia="Times New Roman"/>
          <w:b/>
          <w:bCs/>
          <w:sz w:val="20"/>
          <w:szCs w:val="20"/>
          <w:lang w:val="de-DE" w:eastAsia="it-IT" w:bidi="it-IT"/>
        </w:rPr>
        <w:t>“</w:t>
      </w:r>
      <w:bookmarkStart w:id="2" w:name="_Hlk119403008"/>
      <w:r w:rsidR="001065B1" w:rsidRPr="001065B1">
        <w:rPr>
          <w:rFonts w:eastAsia="Times New Roman"/>
          <w:b/>
          <w:bCs/>
          <w:sz w:val="20"/>
          <w:szCs w:val="20"/>
          <w:lang w:val="it-IT" w:eastAsia="it-IT" w:bidi="it-IT"/>
        </w:rPr>
        <w:t>STRADA PROVINCIALE N. 34 DI PECORARA. PONTE SUL TORRENTE TIDONCELLO IN LOCALITA' MORASCO ALLA PROGRESSIVA KM. 2+555. LAVORI DI MANUTENZIONE STRAORDINARIA E INSTALLAZIONE DELLE BARRIERE DI SICUREZZA - CUP D27H21002460001 [COD. INTERVENTO 707]</w:t>
      </w:r>
      <w:bookmarkEnd w:id="2"/>
      <w:r w:rsidR="00D870C2" w:rsidRPr="00D870C2">
        <w:rPr>
          <w:rFonts w:eastAsia="Times New Roman"/>
          <w:b/>
          <w:bCs/>
          <w:sz w:val="20"/>
          <w:szCs w:val="20"/>
          <w:lang w:val="it-IT" w:eastAsia="it-IT" w:bidi="it-IT"/>
        </w:rPr>
        <w:t xml:space="preserve">”. </w:t>
      </w:r>
      <w:bookmarkEnd w:id="1"/>
      <w:r w:rsidR="00D870C2" w:rsidRPr="00D870C2">
        <w:rPr>
          <w:rFonts w:eastAsia="Times New Roman"/>
          <w:b/>
          <w:bCs/>
          <w:sz w:val="20"/>
          <w:szCs w:val="20"/>
          <w:lang w:val="it-IT" w:eastAsia="it-IT" w:bidi="it-IT"/>
        </w:rPr>
        <w:t xml:space="preserve">CIG: </w:t>
      </w:r>
      <w:r w:rsidR="00B975A2" w:rsidRPr="00B975A2">
        <w:rPr>
          <w:rFonts w:eastAsia="Times New Roman"/>
          <w:b/>
          <w:bCs/>
          <w:sz w:val="20"/>
          <w:szCs w:val="20"/>
          <w:lang w:val="it-IT" w:eastAsia="it-IT" w:bidi="it-IT"/>
        </w:rPr>
        <w:t>954803688F</w:t>
      </w:r>
      <w:r w:rsidR="00D870C2">
        <w:rPr>
          <w:rFonts w:eastAsia="Times New Roman"/>
          <w:b/>
          <w:bCs/>
          <w:sz w:val="20"/>
          <w:szCs w:val="20"/>
          <w:lang w:val="it-IT" w:eastAsia="it-IT" w:bidi="it-IT"/>
        </w:rPr>
        <w:t>.</w:t>
      </w:r>
    </w:p>
    <w:p w14:paraId="1FA63AFE" w14:textId="4310E0FF" w:rsidR="000F72CD" w:rsidRDefault="000F72CD" w:rsidP="00D870C2">
      <w:pPr>
        <w:pStyle w:val="Corpotesto"/>
        <w:spacing w:after="360"/>
        <w:ind w:right="227"/>
        <w:jc w:val="both"/>
        <w:rPr>
          <w:rFonts w:eastAsia="Times New Roman"/>
          <w:sz w:val="18"/>
          <w:szCs w:val="18"/>
        </w:rPr>
      </w:pPr>
      <w:r>
        <w:rPr>
          <w:rFonts w:eastAsia="Arial Unicode MS"/>
          <w:b/>
          <w:bCs/>
          <w:color w:val="FF0000"/>
          <w:kern w:val="2"/>
          <w:sz w:val="20"/>
          <w:szCs w:val="20"/>
        </w:rPr>
        <w:t>ISTRUZIONI PER LA COMPILAZIONE:</w:t>
      </w:r>
      <w:r>
        <w:rPr>
          <w:rFonts w:eastAsia="Arial Unicode MS"/>
          <w:color w:val="FF0000"/>
          <w:kern w:val="2"/>
          <w:sz w:val="20"/>
          <w:szCs w:val="20"/>
        </w:rPr>
        <w:t xml:space="preserve"> COMPLETARE LE VOCI CON I DATI RICHIESTI E INDICARE CON UNA “X” LE VOCI CHE INTERESSANO; UNA VOLTA COMPILATO, TRASFORMARE IL FILE IN FORMATO PDF E FIRMARLO DIGITALMENTE </w:t>
      </w:r>
      <w:r>
        <w:rPr>
          <w:rFonts w:eastAsia="Arial Unicode MS"/>
          <w:bCs/>
          <w:color w:val="FF0000"/>
          <w:kern w:val="2"/>
          <w:sz w:val="20"/>
          <w:szCs w:val="20"/>
        </w:rPr>
        <w:t xml:space="preserve">PRIMA DI CARICARLO SULLA PIATTAFORMA “SATER”. </w:t>
      </w:r>
      <w:r>
        <w:rPr>
          <w:rFonts w:eastAsia="Arial Unicode MS"/>
          <w:b/>
          <w:bCs/>
          <w:color w:val="FF0000"/>
          <w:kern w:val="2"/>
          <w:sz w:val="20"/>
          <w:szCs w:val="20"/>
        </w:rPr>
        <w:t xml:space="preserve">Si </w:t>
      </w:r>
      <w:proofErr w:type="spellStart"/>
      <w:r>
        <w:rPr>
          <w:rFonts w:eastAsia="Arial Unicode MS"/>
          <w:b/>
          <w:bCs/>
          <w:color w:val="FF0000"/>
          <w:kern w:val="2"/>
          <w:sz w:val="20"/>
          <w:szCs w:val="20"/>
        </w:rPr>
        <w:t>rimanda</w:t>
      </w:r>
      <w:proofErr w:type="spellEnd"/>
      <w:r>
        <w:rPr>
          <w:rFonts w:eastAsia="Arial Unicode MS"/>
          <w:b/>
          <w:bCs/>
          <w:color w:val="FF0000"/>
          <w:kern w:val="2"/>
          <w:sz w:val="20"/>
          <w:szCs w:val="20"/>
        </w:rPr>
        <w:t xml:space="preserve"> al </w:t>
      </w:r>
      <w:proofErr w:type="spellStart"/>
      <w:r>
        <w:rPr>
          <w:rFonts w:eastAsia="Arial Unicode MS"/>
          <w:b/>
          <w:bCs/>
          <w:color w:val="FF0000"/>
          <w:kern w:val="2"/>
          <w:sz w:val="20"/>
          <w:szCs w:val="20"/>
        </w:rPr>
        <w:t>disciplinare</w:t>
      </w:r>
      <w:proofErr w:type="spellEnd"/>
      <w:r>
        <w:rPr>
          <w:rFonts w:eastAsia="Arial Unicode MS"/>
          <w:b/>
          <w:bCs/>
          <w:color w:val="FF0000"/>
          <w:kern w:val="2"/>
          <w:sz w:val="20"/>
          <w:szCs w:val="20"/>
        </w:rPr>
        <w:t xml:space="preserve"> di </w:t>
      </w:r>
      <w:proofErr w:type="spellStart"/>
      <w:r>
        <w:rPr>
          <w:rFonts w:eastAsia="Arial Unicode MS"/>
          <w:b/>
          <w:bCs/>
          <w:color w:val="FF0000"/>
          <w:kern w:val="2"/>
          <w:sz w:val="20"/>
          <w:szCs w:val="20"/>
        </w:rPr>
        <w:t>gara</w:t>
      </w:r>
      <w:proofErr w:type="spellEnd"/>
      <w:r>
        <w:rPr>
          <w:rFonts w:eastAsia="Arial Unicode MS"/>
          <w:b/>
          <w:bCs/>
          <w:color w:val="FF0000"/>
          <w:kern w:val="2"/>
          <w:sz w:val="20"/>
          <w:szCs w:val="20"/>
        </w:rPr>
        <w:t xml:space="preserve"> per </w:t>
      </w:r>
      <w:proofErr w:type="spellStart"/>
      <w:r>
        <w:rPr>
          <w:rFonts w:eastAsia="Arial Unicode MS"/>
          <w:b/>
          <w:bCs/>
          <w:color w:val="FF0000"/>
          <w:kern w:val="2"/>
          <w:sz w:val="20"/>
          <w:szCs w:val="20"/>
        </w:rPr>
        <w:t>informazioni</w:t>
      </w:r>
      <w:proofErr w:type="spellEnd"/>
      <w:r>
        <w:rPr>
          <w:rFonts w:eastAsia="Arial Unicode MS"/>
          <w:b/>
          <w:bCs/>
          <w:color w:val="FF0000"/>
          <w:kern w:val="2"/>
          <w:sz w:val="20"/>
          <w:szCs w:val="20"/>
        </w:rPr>
        <w:t xml:space="preserve"> in </w:t>
      </w:r>
      <w:proofErr w:type="spellStart"/>
      <w:r>
        <w:rPr>
          <w:rFonts w:eastAsia="Arial Unicode MS"/>
          <w:b/>
          <w:bCs/>
          <w:color w:val="FF0000"/>
          <w:kern w:val="2"/>
          <w:sz w:val="20"/>
          <w:szCs w:val="20"/>
        </w:rPr>
        <w:t>merito</w:t>
      </w:r>
      <w:proofErr w:type="spellEnd"/>
      <w:r>
        <w:rPr>
          <w:rFonts w:eastAsia="Arial Unicode MS"/>
          <w:b/>
          <w:bCs/>
          <w:color w:val="FF0000"/>
          <w:kern w:val="2"/>
          <w:sz w:val="20"/>
          <w:szCs w:val="20"/>
        </w:rPr>
        <w:t xml:space="preserve"> ai </w:t>
      </w:r>
      <w:proofErr w:type="spellStart"/>
      <w:r>
        <w:rPr>
          <w:rFonts w:eastAsia="Arial Unicode MS"/>
          <w:b/>
          <w:bCs/>
          <w:color w:val="FF0000"/>
          <w:kern w:val="2"/>
          <w:sz w:val="20"/>
          <w:szCs w:val="20"/>
        </w:rPr>
        <w:t>soggetti</w:t>
      </w:r>
      <w:proofErr w:type="spellEnd"/>
      <w:r>
        <w:rPr>
          <w:rFonts w:eastAsia="Arial Unicode MS"/>
          <w:b/>
          <w:bCs/>
          <w:color w:val="FF0000"/>
          <w:kern w:val="2"/>
          <w:sz w:val="20"/>
          <w:szCs w:val="20"/>
        </w:rPr>
        <w:t xml:space="preserve"> </w:t>
      </w:r>
      <w:proofErr w:type="spellStart"/>
      <w:r>
        <w:rPr>
          <w:rFonts w:eastAsia="Arial Unicode MS"/>
          <w:b/>
          <w:bCs/>
          <w:color w:val="FF0000"/>
          <w:kern w:val="2"/>
          <w:sz w:val="20"/>
          <w:szCs w:val="20"/>
        </w:rPr>
        <w:t>che</w:t>
      </w:r>
      <w:proofErr w:type="spellEnd"/>
      <w:r>
        <w:rPr>
          <w:rFonts w:eastAsia="Arial Unicode MS"/>
          <w:b/>
          <w:bCs/>
          <w:color w:val="FF0000"/>
          <w:kern w:val="2"/>
          <w:sz w:val="20"/>
          <w:szCs w:val="20"/>
        </w:rPr>
        <w:t xml:space="preserve"> </w:t>
      </w:r>
      <w:proofErr w:type="spellStart"/>
      <w:r>
        <w:rPr>
          <w:rFonts w:eastAsia="Arial Unicode MS"/>
          <w:b/>
          <w:bCs/>
          <w:color w:val="FF0000"/>
          <w:kern w:val="2"/>
          <w:sz w:val="20"/>
          <w:szCs w:val="20"/>
        </w:rPr>
        <w:t>devono</w:t>
      </w:r>
      <w:proofErr w:type="spellEnd"/>
      <w:r>
        <w:rPr>
          <w:rFonts w:eastAsia="Arial Unicode MS"/>
          <w:b/>
          <w:bCs/>
          <w:color w:val="FF0000"/>
          <w:kern w:val="2"/>
          <w:sz w:val="20"/>
          <w:szCs w:val="20"/>
        </w:rPr>
        <w:t xml:space="preserve"> </w:t>
      </w:r>
      <w:proofErr w:type="spellStart"/>
      <w:r>
        <w:rPr>
          <w:rFonts w:eastAsia="Arial Unicode MS"/>
          <w:b/>
          <w:bCs/>
          <w:color w:val="FF0000"/>
          <w:kern w:val="2"/>
          <w:sz w:val="20"/>
          <w:szCs w:val="20"/>
        </w:rPr>
        <w:t>sottoscrivere</w:t>
      </w:r>
      <w:proofErr w:type="spellEnd"/>
      <w:r>
        <w:rPr>
          <w:rFonts w:eastAsia="Arial Unicode MS"/>
          <w:b/>
          <w:bCs/>
          <w:color w:val="FF0000"/>
          <w:kern w:val="2"/>
          <w:sz w:val="20"/>
          <w:szCs w:val="20"/>
        </w:rPr>
        <w:t xml:space="preserve"> la </w:t>
      </w:r>
      <w:proofErr w:type="spellStart"/>
      <w:r>
        <w:rPr>
          <w:rFonts w:eastAsia="Arial Unicode MS"/>
          <w:b/>
          <w:bCs/>
          <w:color w:val="FF0000"/>
          <w:kern w:val="2"/>
          <w:sz w:val="20"/>
          <w:szCs w:val="20"/>
        </w:rPr>
        <w:t>presente</w:t>
      </w:r>
      <w:proofErr w:type="spellEnd"/>
      <w:r>
        <w:rPr>
          <w:rFonts w:eastAsia="Arial Unicode MS"/>
          <w:b/>
          <w:bCs/>
          <w:color w:val="FF0000"/>
          <w:kern w:val="2"/>
          <w:sz w:val="20"/>
          <w:szCs w:val="20"/>
        </w:rPr>
        <w:t xml:space="preserve"> </w:t>
      </w:r>
      <w:proofErr w:type="spellStart"/>
      <w:r>
        <w:rPr>
          <w:rFonts w:eastAsia="Arial Unicode MS"/>
          <w:b/>
          <w:bCs/>
          <w:color w:val="FF0000"/>
          <w:kern w:val="2"/>
          <w:sz w:val="20"/>
          <w:szCs w:val="20"/>
        </w:rPr>
        <w:t>dichiarazione</w:t>
      </w:r>
      <w:proofErr w:type="spellEnd"/>
      <w:r>
        <w:rPr>
          <w:rFonts w:eastAsia="Arial Unicode MS"/>
          <w:b/>
          <w:bCs/>
          <w:color w:val="FF0000"/>
          <w:kern w:val="2"/>
          <w:sz w:val="20"/>
          <w:szCs w:val="20"/>
        </w:rPr>
        <w:t>.</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0F72CD" w14:paraId="77BA6FB1" w14:textId="77777777" w:rsidTr="00092C88">
        <w:tc>
          <w:tcPr>
            <w:tcW w:w="1320" w:type="dxa"/>
            <w:gridSpan w:val="2"/>
            <w:tcBorders>
              <w:top w:val="double" w:sz="2" w:space="0" w:color="C0C0C0"/>
              <w:left w:val="double" w:sz="2" w:space="0" w:color="C0C0C0"/>
              <w:bottom w:val="double" w:sz="2" w:space="0" w:color="C0C0C0"/>
              <w:right w:val="nil"/>
            </w:tcBorders>
            <w:hideMark/>
          </w:tcPr>
          <w:p w14:paraId="4731E6D5" w14:textId="77777777" w:rsidR="000F72CD" w:rsidRDefault="000F72CD" w:rsidP="00092C88">
            <w:pPr>
              <w:spacing w:before="159" w:after="0" w:line="240" w:lineRule="auto"/>
              <w:jc w:val="both"/>
              <w:rPr>
                <w:rFonts w:ascii="Tahoma" w:eastAsia="Times New Roman" w:hAnsi="Tahoma" w:cs="Tahoma"/>
                <w:sz w:val="18"/>
                <w:szCs w:val="18"/>
              </w:rPr>
            </w:pPr>
            <w:bookmarkStart w:id="3" w:name="_Hlk254170315"/>
            <w:bookmarkStart w:id="4" w:name="OLE_LINK2"/>
            <w:bookmarkStart w:id="5" w:name="OLE_LINK1"/>
            <w:bookmarkEnd w:id="3"/>
            <w:bookmarkEnd w:id="4"/>
            <w:bookmarkEnd w:id="5"/>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60715AEF"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375FCFD2" w14:textId="77777777" w:rsidTr="00092C88">
        <w:tc>
          <w:tcPr>
            <w:tcW w:w="709" w:type="dxa"/>
            <w:tcBorders>
              <w:top w:val="double" w:sz="2" w:space="0" w:color="C0C0C0"/>
              <w:left w:val="double" w:sz="2" w:space="0" w:color="C0C0C0"/>
              <w:bottom w:val="double" w:sz="2" w:space="0" w:color="C0C0C0"/>
              <w:right w:val="nil"/>
            </w:tcBorders>
            <w:hideMark/>
          </w:tcPr>
          <w:p w14:paraId="465BD69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4C43E094"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630B6E6C"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48980B36"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0BF2F8A0"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0338DC15"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1A235946" w14:textId="77777777" w:rsidTr="00092C88">
        <w:tc>
          <w:tcPr>
            <w:tcW w:w="1320" w:type="dxa"/>
            <w:gridSpan w:val="2"/>
            <w:tcBorders>
              <w:top w:val="double" w:sz="2" w:space="0" w:color="C0C0C0"/>
              <w:left w:val="double" w:sz="2" w:space="0" w:color="C0C0C0"/>
              <w:bottom w:val="double" w:sz="2" w:space="0" w:color="C0C0C0"/>
              <w:right w:val="nil"/>
            </w:tcBorders>
            <w:hideMark/>
          </w:tcPr>
          <w:p w14:paraId="71B47BFD"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14:paraId="34057B71"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515D727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08FE40D1"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1D093AC4"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06202475"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3831BCA5" w14:textId="77777777" w:rsidTr="00092C88">
        <w:tc>
          <w:tcPr>
            <w:tcW w:w="1320" w:type="dxa"/>
            <w:gridSpan w:val="2"/>
            <w:tcBorders>
              <w:top w:val="double" w:sz="2" w:space="0" w:color="C0C0C0"/>
              <w:left w:val="double" w:sz="2" w:space="0" w:color="C0C0C0"/>
              <w:bottom w:val="double" w:sz="2" w:space="0" w:color="C0C0C0"/>
              <w:right w:val="nil"/>
            </w:tcBorders>
            <w:hideMark/>
          </w:tcPr>
          <w:p w14:paraId="592491D1"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6AFAF263"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19B5DAEA" w14:textId="77777777" w:rsidTr="00092C88">
        <w:tc>
          <w:tcPr>
            <w:tcW w:w="1320" w:type="dxa"/>
            <w:gridSpan w:val="2"/>
            <w:tcBorders>
              <w:top w:val="double" w:sz="2" w:space="0" w:color="C0C0C0"/>
              <w:left w:val="double" w:sz="2" w:space="0" w:color="C0C0C0"/>
              <w:bottom w:val="double" w:sz="2" w:space="0" w:color="C0C0C0"/>
              <w:right w:val="nil"/>
            </w:tcBorders>
            <w:hideMark/>
          </w:tcPr>
          <w:p w14:paraId="671EE95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27EBBCC7"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4D2F7904" w14:textId="77777777" w:rsidTr="00092C88">
        <w:trPr>
          <w:trHeight w:val="419"/>
        </w:trPr>
        <w:tc>
          <w:tcPr>
            <w:tcW w:w="1710" w:type="dxa"/>
            <w:gridSpan w:val="4"/>
            <w:tcBorders>
              <w:top w:val="double" w:sz="2" w:space="0" w:color="C0C0C0"/>
              <w:left w:val="double" w:sz="2" w:space="0" w:color="C0C0C0"/>
              <w:bottom w:val="double" w:sz="2" w:space="0" w:color="C0C0C0"/>
              <w:right w:val="nil"/>
            </w:tcBorders>
            <w:hideMark/>
          </w:tcPr>
          <w:p w14:paraId="709BF47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29FE2836"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16597543"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00F4566C"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38A420DC"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0B8D7789"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64165B3A" w14:textId="77777777" w:rsidTr="00092C88">
        <w:tc>
          <w:tcPr>
            <w:tcW w:w="1815" w:type="dxa"/>
            <w:gridSpan w:val="5"/>
            <w:tcBorders>
              <w:top w:val="double" w:sz="2" w:space="0" w:color="C0C0C0"/>
              <w:left w:val="double" w:sz="2" w:space="0" w:color="C0C0C0"/>
              <w:bottom w:val="double" w:sz="2" w:space="0" w:color="C0C0C0"/>
              <w:right w:val="nil"/>
            </w:tcBorders>
            <w:hideMark/>
          </w:tcPr>
          <w:p w14:paraId="31427BC6"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5E93354B"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50705A5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014651CA"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01BC5CD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32438A1D"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548F5DA3" w14:textId="77777777" w:rsidTr="00092C88">
        <w:trPr>
          <w:trHeight w:val="390"/>
        </w:trPr>
        <w:tc>
          <w:tcPr>
            <w:tcW w:w="1425" w:type="dxa"/>
            <w:gridSpan w:val="3"/>
            <w:tcBorders>
              <w:top w:val="double" w:sz="2" w:space="0" w:color="C0C0C0"/>
              <w:left w:val="double" w:sz="2" w:space="0" w:color="C0C0C0"/>
              <w:bottom w:val="double" w:sz="2" w:space="0" w:color="C0C0C0"/>
              <w:right w:val="nil"/>
            </w:tcBorders>
            <w:hideMark/>
          </w:tcPr>
          <w:p w14:paraId="48B6A5B6"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22000CFD"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76FEFF87"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2F9DD209" w14:textId="77777777" w:rsidR="000F72CD" w:rsidRDefault="000F72CD" w:rsidP="00092C88">
            <w:pPr>
              <w:snapToGrid w:val="0"/>
              <w:spacing w:before="159" w:after="0" w:line="240" w:lineRule="auto"/>
              <w:jc w:val="both"/>
              <w:rPr>
                <w:rFonts w:ascii="Tahoma" w:eastAsia="Times New Roman" w:hAnsi="Tahoma" w:cs="Tahoma"/>
                <w:sz w:val="18"/>
                <w:szCs w:val="18"/>
              </w:rPr>
            </w:pPr>
          </w:p>
        </w:tc>
      </w:tr>
    </w:tbl>
    <w:p w14:paraId="1B08232A" w14:textId="77777777" w:rsidR="000F72CD" w:rsidRDefault="000F72CD" w:rsidP="000F72CD">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2239B9C8" w14:textId="77777777" w:rsidR="000F72CD" w:rsidRDefault="000F72CD" w:rsidP="000F72CD">
      <w:pPr>
        <w:spacing w:before="119" w:after="240" w:line="240" w:lineRule="auto"/>
        <w:jc w:val="center"/>
        <w:rPr>
          <w:rFonts w:ascii="Tahoma" w:eastAsia="Times New Roman" w:hAnsi="Tahoma" w:cs="Tahoma"/>
          <w:b/>
          <w:bCs/>
          <w:sz w:val="18"/>
          <w:szCs w:val="18"/>
        </w:rPr>
      </w:pPr>
      <w:r>
        <w:rPr>
          <w:rFonts w:ascii="Tahoma" w:eastAsia="Times New Roman" w:hAnsi="Tahoma" w:cs="Tahoma"/>
          <w:b/>
          <w:sz w:val="20"/>
          <w:szCs w:val="20"/>
        </w:rPr>
        <w:t>CHIEDE</w:t>
      </w:r>
    </w:p>
    <w:p w14:paraId="1B98F7FD" w14:textId="77777777" w:rsidR="000F72CD" w:rsidRDefault="000F72CD" w:rsidP="000F72CD">
      <w:pPr>
        <w:spacing w:before="119" w:after="240" w:line="240" w:lineRule="auto"/>
        <w:jc w:val="both"/>
        <w:rPr>
          <w:rFonts w:ascii="Tahoma" w:eastAsia="Times New Roman" w:hAnsi="Tahoma" w:cs="Tahoma"/>
          <w:color w:val="000000"/>
          <w:sz w:val="20"/>
          <w:szCs w:val="20"/>
        </w:rPr>
      </w:pPr>
      <w:r>
        <w:rPr>
          <w:rFonts w:ascii="Tahoma" w:eastAsia="Times New Roman" w:hAnsi="Tahoma" w:cs="Tahoma"/>
          <w:b/>
          <w:bCs/>
          <w:sz w:val="18"/>
          <w:szCs w:val="18"/>
        </w:rPr>
        <w:t xml:space="preserve">di partecipare alla gara indicata in oggetto </w:t>
      </w:r>
      <w:r>
        <w:rPr>
          <w:rFonts w:ascii="Tahoma" w:eastAsia="Times New Roman" w:hAnsi="Tahoma" w:cs="Tahoma"/>
          <w:sz w:val="20"/>
          <w:szCs w:val="20"/>
        </w:rPr>
        <w:t>come:</w:t>
      </w:r>
    </w:p>
    <w:p w14:paraId="566E5F94"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14:paraId="63559338"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64FDBF1B" w14:textId="77777777" w:rsidR="000F72CD" w:rsidRDefault="000F72CD" w:rsidP="000F72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759960FF" w14:textId="77777777" w:rsidR="000F72CD" w:rsidRDefault="000F72CD" w:rsidP="000F72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 di tipo orizzontale </w:t>
      </w:r>
      <w:r w:rsidRPr="001065B1">
        <w:rPr>
          <w:rFonts w:ascii="Tahoma" w:eastAsia="Times New Roman" w:hAnsi="Tahoma" w:cs="Tahoma"/>
          <w:color w:val="000000"/>
          <w:sz w:val="20"/>
          <w:szCs w:val="20"/>
        </w:rPr>
        <w:t>□ di tipo verticale □ di tipo misto</w:t>
      </w:r>
    </w:p>
    <w:p w14:paraId="182B0FF3"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mandante di Raggruppamento Temporaneo di concorrenti o di Consorzio ex art. 45, comma 2, lett. d) ed e)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470F93C0" w14:textId="77777777" w:rsidR="000F72CD" w:rsidRDefault="000F72CD" w:rsidP="000F72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3BA4089D" w14:textId="77777777" w:rsidR="000F72CD" w:rsidRDefault="000F72CD" w:rsidP="000F72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 di tipo orizzontale □ di tipo verticale □ di tipo misto</w:t>
      </w:r>
    </w:p>
    <w:p w14:paraId="1EEB3D0A"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fra società cooperative di produzione e lavoro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41915F7B"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tra imprese artigiane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0108CA07"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stabile ex art. 45, comma 2, lett. c) del D Lgs. 50/2016;</w:t>
      </w:r>
    </w:p>
    <w:p w14:paraId="493B27F0"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14:paraId="7D780145" w14:textId="77777777" w:rsidR="000F72CD" w:rsidRDefault="000F72CD" w:rsidP="000F72CD">
      <w:pPr>
        <w:numPr>
          <w:ilvl w:val="0"/>
          <w:numId w:val="1"/>
        </w:numPr>
        <w:spacing w:before="120" w:after="12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operatore economico stabilito in altro Stato membro ex art. 45,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7FD5AC9F"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434C5A01"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p>
    <w:p w14:paraId="6325B725"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38EFFE07"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69F1287C" w14:textId="77777777" w:rsidR="000F72CD" w:rsidRDefault="000F72CD" w:rsidP="000F72CD">
      <w:pPr>
        <w:spacing w:after="62" w:line="240" w:lineRule="auto"/>
        <w:ind w:left="426"/>
        <w:jc w:val="center"/>
        <w:rPr>
          <w:rFonts w:ascii="Tahoma" w:eastAsia="Times New Roman" w:hAnsi="Tahoma" w:cs="Tahoma"/>
          <w:color w:val="000000"/>
          <w:sz w:val="20"/>
          <w:szCs w:val="20"/>
        </w:rPr>
      </w:pPr>
    </w:p>
    <w:p w14:paraId="63AB03FF" w14:textId="77777777" w:rsidR="000F72CD" w:rsidRDefault="000F72CD" w:rsidP="000F72CD">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14:paraId="32C53D81" w14:textId="77777777" w:rsidR="000F72CD" w:rsidRDefault="000F72CD" w:rsidP="000F72CD">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14:paraId="53D55EF8" w14:textId="77777777" w:rsidR="000F72CD" w:rsidRDefault="000F72CD" w:rsidP="000F72CD">
      <w:pPr>
        <w:spacing w:after="0" w:line="240" w:lineRule="auto"/>
        <w:jc w:val="center"/>
        <w:rPr>
          <w:rFonts w:ascii="Tahoma" w:eastAsia="Times New Roman" w:hAnsi="Tahoma" w:cs="Tahoma"/>
          <w:bCs/>
          <w:sz w:val="20"/>
          <w:szCs w:val="20"/>
        </w:rPr>
      </w:pPr>
    </w:p>
    <w:p w14:paraId="3BA93985" w14:textId="77777777" w:rsidR="000F72CD" w:rsidRDefault="000F72CD" w:rsidP="000F72CD">
      <w:pPr>
        <w:numPr>
          <w:ilvl w:val="0"/>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nel caso di procedura di concordato preventivo con continuità aziendale</w:t>
      </w:r>
      <w:r>
        <w:rPr>
          <w:rFonts w:ascii="Tahoma" w:eastAsia="Times New Roman" w:hAnsi="Tahoma" w:cs="Tahoma"/>
          <w:color w:val="000000"/>
          <w:sz w:val="20"/>
          <w:szCs w:val="20"/>
        </w:rPr>
        <w:t>, ai sensi dell’art. 80, comma 5, lett. b), e dell’art. 110, commi 3, 4 e 5 del Codice, ad integrazione di quanto indicato nella parte III, sez. C, lett. d) del DGUE:</w:t>
      </w:r>
    </w:p>
    <w:p w14:paraId="66106C98" w14:textId="77777777" w:rsidR="000F72CD" w:rsidRDefault="000F72CD" w:rsidP="000F72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1F22F5C9" w14:textId="77777777" w:rsidR="000F72CD" w:rsidRDefault="000F72CD" w:rsidP="000F72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1B3BEF72" w14:textId="77777777" w:rsidR="000F72CD" w:rsidRDefault="000F72CD" w:rsidP="000F72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 xml:space="preserve">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655DB091" w14:textId="77777777" w:rsidR="000F72CD" w:rsidRDefault="000F72CD" w:rsidP="000F72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564BA7CE" w14:textId="77777777" w:rsidR="000F72CD" w:rsidRDefault="000F72CD" w:rsidP="000F72CD">
      <w:pPr>
        <w:numPr>
          <w:ilvl w:val="1"/>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2F7170B7" w14:textId="77777777" w:rsidR="000F72CD" w:rsidRDefault="000F72CD" w:rsidP="000F72CD">
      <w:pPr>
        <w:numPr>
          <w:ilvl w:val="1"/>
          <w:numId w:val="1"/>
        </w:numPr>
        <w:spacing w:after="200"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non partecipare alla gara quale mandataria di un raggruppamento temporaneo di imprese e che le altre imprese aderenti al raggruppamento non sono assoggettate ad una procedura concorsuale ai sensi dell’art. 186 bis, comma 6, della Legge Fallimentare;</w:t>
      </w:r>
    </w:p>
    <w:p w14:paraId="2DFDDF05" w14:textId="77777777" w:rsidR="000F72CD" w:rsidRPr="00C123D2"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sidRPr="00C25C3B">
        <w:rPr>
          <w:rFonts w:ascii="Tahoma" w:eastAsia="Times New Roman" w:hAnsi="Tahoma" w:cs="Tahoma"/>
          <w:color w:val="000000"/>
          <w:sz w:val="20"/>
          <w:szCs w:val="20"/>
        </w:rPr>
        <w:lastRenderedPageBreak/>
        <w:t>di a</w:t>
      </w:r>
      <w:r w:rsidRPr="00C123D2">
        <w:rPr>
          <w:rFonts w:ascii="Tahoma" w:eastAsia="Times New Roman" w:hAnsi="Tahoma" w:cs="Tahoma"/>
          <w:color w:val="000000"/>
          <w:sz w:val="20"/>
          <w:szCs w:val="20"/>
        </w:rPr>
        <w:t>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realizzabili, gli elaborati progettuali adeguati ed i prezzi nel loro complesso remunerativi e tali da consentire il ribasso offerto;</w:t>
      </w:r>
    </w:p>
    <w:p w14:paraId="7F6181AD"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5AB8D942"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0073AC4C"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piena ed integrale conoscenza del Codice dei Contratti, del Capitolato speciale d'appalto, nonché del bando e del disciplinare di gara, in tutte le loro parti, e di accettare tutte le condizioni e prescrizioni contenute nei sopra citati atti;</w:t>
      </w:r>
    </w:p>
    <w:p w14:paraId="70A581A0"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bCs/>
          <w:kern w:val="2"/>
          <w:sz w:val="20"/>
          <w:szCs w:val="20"/>
        </w:rPr>
      </w:pPr>
      <w:r>
        <w:rPr>
          <w:rFonts w:ascii="Tahoma" w:eastAsia="Times New Roman" w:hAnsi="Tahoma" w:cs="Tahoma"/>
          <w:color w:val="000000"/>
          <w:sz w:val="20"/>
          <w:szCs w:val="20"/>
        </w:rPr>
        <w:t>che alla data di presentazione della presente dichiarazione</w:t>
      </w:r>
      <w:r>
        <w:rPr>
          <w:rFonts w:ascii="Tahoma" w:eastAsia="Times New Roman" w:hAnsi="Tahoma" w:cs="Tahoma"/>
          <w:kern w:val="2"/>
          <w:sz w:val="20"/>
          <w:szCs w:val="20"/>
        </w:rPr>
        <w:t>:</w:t>
      </w:r>
    </w:p>
    <w:p w14:paraId="186AC2CD"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non è scaduto</w:t>
      </w:r>
      <w:r>
        <w:rPr>
          <w:rFonts w:ascii="Tahoma" w:eastAsia="Times New Roman" w:hAnsi="Tahoma" w:cs="Tahoma"/>
          <w:kern w:val="2"/>
          <w:sz w:val="20"/>
          <w:szCs w:val="20"/>
        </w:rPr>
        <w:t xml:space="preserve"> il termine per la verifica </w:t>
      </w:r>
      <w:r>
        <w:rPr>
          <w:rFonts w:ascii="Tahoma" w:eastAsia="Times New Roman" w:hAnsi="Tahoma" w:cs="Tahoma"/>
          <w:b/>
          <w:bCs/>
          <w:kern w:val="2"/>
          <w:sz w:val="20"/>
          <w:szCs w:val="20"/>
        </w:rPr>
        <w:t>triennale</w:t>
      </w:r>
      <w:r>
        <w:rPr>
          <w:rFonts w:ascii="Tahoma" w:eastAsia="Times New Roman" w:hAnsi="Tahoma" w:cs="Tahoma"/>
          <w:kern w:val="2"/>
          <w:sz w:val="20"/>
          <w:szCs w:val="20"/>
        </w:rPr>
        <w:t xml:space="preserve"> (o della scadenza intermedia nel caso di partecipazione da parte di un consorzio) della certificazione SOA posseduta;</w:t>
      </w:r>
    </w:p>
    <w:p w14:paraId="52BFF23C" w14:textId="77777777" w:rsidR="000F72CD" w:rsidRDefault="000F72CD" w:rsidP="000F72CD">
      <w:pPr>
        <w:spacing w:before="119"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28BCD7BE"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è scaduto il termine per la verifica </w:t>
      </w:r>
      <w:r>
        <w:rPr>
          <w:rFonts w:ascii="Tahoma" w:eastAsia="Times New Roman" w:hAnsi="Tahoma" w:cs="Tahoma"/>
          <w:b/>
          <w:bCs/>
          <w:kern w:val="2"/>
          <w:sz w:val="20"/>
          <w:szCs w:val="20"/>
        </w:rPr>
        <w:t>triennale</w:t>
      </w:r>
      <w:r>
        <w:rPr>
          <w:rFonts w:ascii="Tahoma" w:eastAsia="Times New Roman" w:hAnsi="Tahoma" w:cs="Tahoma"/>
          <w:bCs/>
          <w:kern w:val="2"/>
          <w:sz w:val="20"/>
          <w:szCs w:val="20"/>
        </w:rPr>
        <w:t xml:space="preserve"> (o della scadenza intermedia nel caso di partecipazione da parte di un consorzio) della certificazione SOA posseduta, ma l'impresa ha richiesto la verifica in data ________________,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6FAD55BC" w14:textId="77777777" w:rsidR="000F72CD" w:rsidRPr="0000383F" w:rsidRDefault="000F72CD" w:rsidP="000F72CD">
      <w:pPr>
        <w:spacing w:before="119" w:after="0" w:line="240" w:lineRule="auto"/>
        <w:jc w:val="center"/>
        <w:rPr>
          <w:rFonts w:ascii="Tahoma" w:eastAsia="Times New Roman" w:hAnsi="Tahoma" w:cs="Tahoma"/>
          <w:b/>
          <w:bCs/>
          <w:kern w:val="2"/>
          <w:sz w:val="20"/>
          <w:szCs w:val="20"/>
        </w:rPr>
      </w:pPr>
      <w:r w:rsidRPr="0000383F">
        <w:rPr>
          <w:rFonts w:ascii="Tahoma" w:eastAsia="Times New Roman" w:hAnsi="Tahoma" w:cs="Tahoma"/>
          <w:b/>
          <w:i/>
          <w:iCs/>
          <w:kern w:val="2"/>
          <w:sz w:val="20"/>
          <w:szCs w:val="20"/>
        </w:rPr>
        <w:t>e, inoltre:</w:t>
      </w:r>
    </w:p>
    <w:p w14:paraId="67BEF299"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che tale attestazione SOA non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w:t>
      </w:r>
    </w:p>
    <w:p w14:paraId="236DC79A" w14:textId="77777777" w:rsidR="000F72CD" w:rsidRDefault="000F72CD" w:rsidP="000F72CD">
      <w:pPr>
        <w:spacing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458F27A0" w14:textId="77777777" w:rsidR="000F72CD" w:rsidRDefault="000F72CD" w:rsidP="000F72CD">
      <w:pPr>
        <w:numPr>
          <w:ilvl w:val="1"/>
          <w:numId w:val="2"/>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bCs/>
          <w:kern w:val="2"/>
          <w:sz w:val="20"/>
          <w:szCs w:val="20"/>
        </w:rPr>
        <w:t xml:space="preserve">che tale attestazione SOA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_______________________________ per ottenere il rinnovo dell’attestazione in questione, ai sensi di quanto previsto dall’art. 76, comma 5, secondo periodo, del D.P.R. 207/2010,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1FF0064F" w14:textId="77777777" w:rsidR="000F72CD" w:rsidRPr="004D1734"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di non incorrere nella causa di esclusione prevista dall’art. 80, comma 1, lettera b-bis del codice dei </w:t>
      </w:r>
      <w:r w:rsidRPr="004D1734">
        <w:rPr>
          <w:rFonts w:ascii="Tahoma" w:eastAsia="Times New Roman" w:hAnsi="Tahoma" w:cs="Tahoma"/>
          <w:color w:val="000000"/>
          <w:sz w:val="20"/>
          <w:szCs w:val="20"/>
        </w:rPr>
        <w:t>contratti pubblici;</w:t>
      </w:r>
    </w:p>
    <w:p w14:paraId="562ECEBA"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sidRPr="004D1734">
        <w:rPr>
          <w:rFonts w:ascii="Tahoma" w:eastAsia="Times New Roman" w:hAnsi="Tahoma" w:cs="Tahoma"/>
          <w:color w:val="000000"/>
          <w:sz w:val="20"/>
          <w:szCs w:val="20"/>
        </w:rPr>
        <w:t>di non essere stato sottoposto a liquidazione giudiziale, fallimento, di non trovarsi in stato di liquidazione coatta o di concordato preventivo, e che</w:t>
      </w:r>
      <w:r>
        <w:rPr>
          <w:rFonts w:ascii="Tahoma" w:eastAsia="Times New Roman" w:hAnsi="Tahoma" w:cs="Tahoma"/>
          <w:color w:val="000000"/>
          <w:sz w:val="20"/>
          <w:szCs w:val="20"/>
        </w:rPr>
        <w:t xml:space="preserve"> non è in corso un procedimento per la dichiarazione di una di tali situazioni nei propri confronti;</w:t>
      </w:r>
    </w:p>
    <w:p w14:paraId="5CBDA117" w14:textId="77777777" w:rsidR="000F72CD" w:rsidRPr="00D05C91"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sidRPr="00D05C91">
        <w:rPr>
          <w:rFonts w:ascii="Tahoma" w:eastAsia="Times New Roman" w:hAnsi="Tahoma" w:cs="Tahoma"/>
          <w:color w:val="000000"/>
          <w:sz w:val="20"/>
          <w:szCs w:val="20"/>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p>
    <w:p w14:paraId="71D9E24B"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nelle cause di esclusione di cui all’art. 80, comma 5, lettere f-bis e f-ter del Codice dei contratti pubblici;</w:t>
      </w:r>
    </w:p>
    <w:p w14:paraId="4ECB4983"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tentato di influenzare indebitamente il processo decisionale della stazione appaltante o di ottenere informazioni riservate a fini di proprio vantaggio;</w:t>
      </w:r>
    </w:p>
    <w:p w14:paraId="67D00094"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fornito, anche per negligenza, informazioni false o fuorvianti suscettibili di influenzare le decisioni sull'esclusione, la selezione o l'aggiudicazione,</w:t>
      </w:r>
    </w:p>
    <w:p w14:paraId="31B30D60"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omesso le informazioni dovute ai fini del corretto svolgimento della procedura di selezione;</w:t>
      </w:r>
    </w:p>
    <w:p w14:paraId="3D14ED06" w14:textId="77777777" w:rsidR="000F72CD" w:rsidRPr="0048429A"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sidRPr="0048429A">
        <w:rPr>
          <w:rFonts w:ascii="Tahoma" w:eastAsia="Times New Roman" w:hAnsi="Tahoma" w:cs="Tahoma"/>
          <w:color w:val="000000"/>
          <w:sz w:val="20"/>
          <w:szCs w:val="20"/>
        </w:rPr>
        <w:t>di non aver commesso alcun inadempimento nei confronti di uno o più subappaltatori;</w:t>
      </w:r>
    </w:p>
    <w:p w14:paraId="66D5CE27" w14:textId="77777777" w:rsidR="000F72CD" w:rsidRPr="00C25C3B" w:rsidRDefault="000F72CD" w:rsidP="000F72CD">
      <w:pPr>
        <w:numPr>
          <w:ilvl w:val="0"/>
          <w:numId w:val="1"/>
        </w:numPr>
        <w:spacing w:before="120" w:after="120" w:line="240" w:lineRule="auto"/>
        <w:ind w:left="357" w:hanging="357"/>
        <w:contextualSpacing/>
        <w:jc w:val="both"/>
        <w:rPr>
          <w:rFonts w:ascii="Tahoma" w:eastAsia="Times New Roman" w:hAnsi="Tahoma" w:cs="Tahoma"/>
          <w:i/>
          <w:color w:val="000000"/>
          <w:sz w:val="20"/>
          <w:szCs w:val="20"/>
        </w:rPr>
      </w:pPr>
      <w:r w:rsidRPr="00C25C3B">
        <w:rPr>
          <w:rFonts w:ascii="Tahoma" w:eastAsia="Times New Roman" w:hAnsi="Tahoma" w:cs="Tahoma"/>
          <w:color w:val="000000"/>
          <w:sz w:val="20"/>
          <w:szCs w:val="20"/>
        </w:rPr>
        <w:lastRenderedPageBreak/>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3352993E" w14:textId="77777777" w:rsidR="000F72CD" w:rsidRDefault="000F72CD" w:rsidP="000F72CD">
      <w:pPr>
        <w:spacing w:after="62" w:line="240" w:lineRule="auto"/>
        <w:ind w:left="357"/>
        <w:contextualSpacing/>
        <w:jc w:val="center"/>
        <w:rPr>
          <w:rFonts w:ascii="Tahoma" w:eastAsia="Times New Roman" w:hAnsi="Tahoma" w:cs="Tahoma"/>
          <w:color w:val="000000"/>
          <w:sz w:val="20"/>
          <w:szCs w:val="20"/>
        </w:rPr>
      </w:pPr>
      <w:r w:rsidRPr="00C25C3B">
        <w:rPr>
          <w:rFonts w:ascii="Tahoma" w:eastAsia="Times New Roman" w:hAnsi="Tahoma" w:cs="Tahoma"/>
          <w:i/>
          <w:color w:val="000000"/>
          <w:sz w:val="20"/>
          <w:szCs w:val="20"/>
        </w:rPr>
        <w:t>oppure</w:t>
      </w:r>
    </w:p>
    <w:p w14:paraId="02CDA8A8" w14:textId="77777777" w:rsidR="000F72CD" w:rsidRDefault="000F72CD" w:rsidP="000F72CD">
      <w:pPr>
        <w:numPr>
          <w:ilvl w:val="0"/>
          <w:numId w:val="1"/>
        </w:num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t>di aver dimostrato le seguenti carenze nell’esecuzione di un precedente contratto di appalto o di concessione, che ne hanno causato la risoluzione per inadempimento ovvero la condanna al risarcimento del danno o altre sanzioni (</w:t>
      </w:r>
      <w:r>
        <w:rPr>
          <w:rFonts w:ascii="Tahoma" w:eastAsia="Times New Roman" w:hAnsi="Tahoma" w:cs="Tahoma"/>
          <w:b/>
          <w:i/>
          <w:color w:val="000000"/>
          <w:sz w:val="20"/>
          <w:szCs w:val="20"/>
        </w:rPr>
        <w:t>sarà la stazione appaltante a valutare se i fatti dichiarati costituiscano o meno causa di esclusione</w:t>
      </w:r>
      <w:r>
        <w:rPr>
          <w:rFonts w:ascii="Tahoma" w:eastAsia="Times New Roman" w:hAnsi="Tahoma" w:cs="Tahoma"/>
          <w:color w:val="000000"/>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53EBA2" w14:textId="72E5FFAB" w:rsidR="000F72CD" w:rsidRPr="004834A9" w:rsidRDefault="000F72CD" w:rsidP="000F72CD">
      <w:pPr>
        <w:numPr>
          <w:ilvl w:val="0"/>
          <w:numId w:val="3"/>
        </w:numPr>
        <w:spacing w:before="120" w:after="120" w:line="240" w:lineRule="auto"/>
        <w:jc w:val="both"/>
        <w:rPr>
          <w:u w:val="single"/>
        </w:rPr>
      </w:pPr>
      <w:bookmarkStart w:id="6" w:name="_GoBack"/>
      <w:bookmarkEnd w:id="6"/>
      <w:r>
        <w:rPr>
          <w:rFonts w:ascii="Tahoma" w:eastAsia="Times New Roman" w:hAnsi="Tahoma" w:cs="Tahoma"/>
          <w:color w:val="000000"/>
          <w:sz w:val="20"/>
          <w:szCs w:val="20"/>
        </w:rPr>
        <w:t xml:space="preserve">di essere edotto degli obblighi derivanti dal Codice di Comportamento dei dipendenti pubblici </w:t>
      </w:r>
      <w:r w:rsidR="00B31E32" w:rsidRPr="00B31E32">
        <w:rPr>
          <w:rFonts w:ascii="Tahoma" w:eastAsia="Times New Roman" w:hAnsi="Tahoma" w:cs="Tahoma"/>
          <w:color w:val="000000"/>
          <w:sz w:val="20"/>
          <w:szCs w:val="20"/>
        </w:rPr>
        <w:t xml:space="preserve">adottato con Provvedimento del Presidente della Provincia di Piacenza </w:t>
      </w:r>
      <w:r w:rsidR="00166753" w:rsidRPr="00166753">
        <w:rPr>
          <w:rFonts w:ascii="Tahoma" w:eastAsia="Times New Roman" w:hAnsi="Tahoma" w:cs="Tahoma"/>
          <w:color w:val="000000"/>
          <w:sz w:val="20"/>
          <w:szCs w:val="20"/>
        </w:rPr>
        <w:t>n. 40 del 28/4/2022</w:t>
      </w:r>
      <w:r>
        <w:rPr>
          <w:rFonts w:ascii="Tahoma" w:eastAsia="Times New Roman" w:hAnsi="Tahoma" w:cs="Tahoma"/>
          <w:color w:val="000000"/>
          <w:sz w:val="20"/>
          <w:szCs w:val="20"/>
        </w:rPr>
        <w:t xml:space="preserve">, e si impegna, in caso di aggiudicazione, a osservare e far osservare ai propri dipendenti e collaboratori il suddetto codice, </w:t>
      </w:r>
      <w:r>
        <w:rPr>
          <w:rFonts w:ascii="Tahoma" w:eastAsia="Times New Roman" w:hAnsi="Tahoma" w:cs="Tahoma"/>
          <w:color w:val="000000"/>
          <w:sz w:val="20"/>
          <w:szCs w:val="20"/>
          <w:u w:val="single"/>
        </w:rPr>
        <w:t>pena la risoluzione del contratto</w:t>
      </w:r>
      <w:r>
        <w:rPr>
          <w:rFonts w:ascii="Tahoma" w:eastAsia="Times New Roman" w:hAnsi="Tahoma" w:cs="Tahoma"/>
          <w:color w:val="000000"/>
          <w:sz w:val="20"/>
          <w:szCs w:val="20"/>
        </w:rPr>
        <w:t>;</w:t>
      </w:r>
    </w:p>
    <w:p w14:paraId="7C8E377B" w14:textId="608231A1" w:rsidR="004834A9" w:rsidRPr="004834A9" w:rsidRDefault="004834A9" w:rsidP="004834A9">
      <w:pPr>
        <w:numPr>
          <w:ilvl w:val="0"/>
          <w:numId w:val="4"/>
        </w:numPr>
        <w:spacing w:after="62" w:line="240" w:lineRule="auto"/>
        <w:jc w:val="both"/>
        <w:rPr>
          <w:rFonts w:ascii="Tahoma" w:eastAsia="Times New Roman" w:hAnsi="Tahoma" w:cs="Tahoma"/>
          <w:color w:val="000000"/>
          <w:sz w:val="20"/>
          <w:szCs w:val="20"/>
          <w:lang w:bidi="it-IT"/>
        </w:rPr>
      </w:pPr>
      <w:r>
        <w:rPr>
          <w:rFonts w:ascii="Tahoma" w:eastAsia="Times New Roman" w:hAnsi="Tahoma" w:cs="Tahoma"/>
          <w:color w:val="000000"/>
          <w:sz w:val="20"/>
          <w:szCs w:val="20"/>
          <w:lang w:bidi="it-IT"/>
        </w:rPr>
        <w:t>di accettare, a pena di esclusione, le clausole contenute nel “</w:t>
      </w:r>
      <w:r>
        <w:rPr>
          <w:rFonts w:ascii="Tahoma" w:eastAsia="Times New Roman" w:hAnsi="Tahoma" w:cs="Tahoma"/>
          <w:i/>
          <w:color w:val="000000"/>
          <w:sz w:val="20"/>
          <w:szCs w:val="20"/>
          <w:lang w:bidi="it-IT"/>
        </w:rPr>
        <w:t>Protocollo d'intesa per la prevenzione dei tentativi di infiltrazione della criminalità organizzata nel settore degli appalti e concessioni di lavori pubblici</w:t>
      </w:r>
      <w:r>
        <w:rPr>
          <w:rFonts w:ascii="Tahoma" w:eastAsia="Times New Roman" w:hAnsi="Tahoma" w:cs="Tahoma"/>
          <w:color w:val="000000"/>
          <w:sz w:val="20"/>
          <w:szCs w:val="20"/>
          <w:lang w:bidi="it-IT"/>
        </w:rPr>
        <w:t xml:space="preserve">” stipulato tra la Prefettura e la Provincia di Piacenza in data 17/05/2018, il cui testo è rinvenibile al collegamento: </w:t>
      </w:r>
      <w:hyperlink r:id="rId5" w:history="1">
        <w:r>
          <w:rPr>
            <w:rStyle w:val="Collegamentoipertestuale"/>
            <w:b/>
            <w:color w:val="4472C4"/>
          </w:rPr>
          <w:t>http://www.prefettura.it/FILES/AllegatiPag/1207/Protocollo_legalità__antimafia_PROVINCIA.pdf</w:t>
        </w:r>
      </w:hyperlink>
      <w:r>
        <w:rPr>
          <w:rFonts w:ascii="Tahoma" w:eastAsia="Times New Roman" w:hAnsi="Tahoma" w:cs="Tahoma"/>
          <w:color w:val="000000"/>
          <w:sz w:val="20"/>
          <w:szCs w:val="20"/>
          <w:lang w:bidi="it-IT"/>
        </w:rPr>
        <w:t xml:space="preserve">; </w:t>
      </w:r>
    </w:p>
    <w:p w14:paraId="51839066" w14:textId="77777777" w:rsidR="000F72CD" w:rsidRPr="0000383F" w:rsidRDefault="000F72CD" w:rsidP="000F72CD">
      <w:pPr>
        <w:numPr>
          <w:ilvl w:val="0"/>
          <w:numId w:val="3"/>
        </w:numPr>
        <w:spacing w:before="120" w:after="120"/>
        <w:jc w:val="both"/>
        <w:rPr>
          <w:rFonts w:ascii="Tahoma" w:hAnsi="Tahoma" w:cs="Tahoma"/>
          <w:sz w:val="20"/>
          <w:szCs w:val="20"/>
          <w:lang w:bidi="it-IT"/>
        </w:rPr>
      </w:pPr>
      <w:r w:rsidRPr="0000383F">
        <w:rPr>
          <w:rFonts w:ascii="Tahoma" w:hAnsi="Tahoma" w:cs="Tahoma"/>
          <w:sz w:val="20"/>
          <w:szCs w:val="20"/>
        </w:rPr>
        <w:t xml:space="preserve">di essere iscritto </w:t>
      </w:r>
      <w:r w:rsidRPr="0000383F">
        <w:rPr>
          <w:rFonts w:ascii="Tahoma" w:hAnsi="Tahoma" w:cs="Tahoma"/>
          <w:sz w:val="20"/>
          <w:szCs w:val="20"/>
          <w:lang w:bidi="it-IT"/>
        </w:rPr>
        <w:t>ai sensi del comma 52 dell’art. 1 della Legge 190/2012, nell’elenco dei fornitori, prestatori di servizi ed esecutori di lavori non soggetti a tentativo di infiltrazione mafiosa (c.d. white list), istituito presso la Prefettura della Provincia di _____</w:t>
      </w:r>
      <w:r>
        <w:rPr>
          <w:rFonts w:ascii="Tahoma" w:hAnsi="Tahoma" w:cs="Tahoma"/>
          <w:sz w:val="20"/>
          <w:szCs w:val="20"/>
          <w:lang w:bidi="it-IT"/>
        </w:rPr>
        <w:t>__________________________</w:t>
      </w:r>
      <w:r w:rsidRPr="0000383F">
        <w:rPr>
          <w:rFonts w:ascii="Tahoma" w:hAnsi="Tahoma" w:cs="Tahoma"/>
          <w:sz w:val="20"/>
          <w:szCs w:val="20"/>
          <w:lang w:bidi="it-IT"/>
        </w:rPr>
        <w:t xml:space="preserve">_ (indicare la Prefettura della Provincia in cui ha sede legale la ditta) oppure, in alternativa, aver presentato domanda di iscrizione in tale elenco, indicando la data (ai sensi del comma 52 dell’art. 1 della Legge 190/2012 e della Circolare Ministero dell’Interno prot. 25954 del 23/03/2016 e DPCM 18/04/2013, come aggiornato dal DPCM 24/11/2016). </w:t>
      </w:r>
      <w:r w:rsidRPr="0000383F">
        <w:rPr>
          <w:rFonts w:ascii="Tahoma" w:hAnsi="Tahoma" w:cs="Tahoma"/>
          <w:b/>
          <w:sz w:val="20"/>
          <w:szCs w:val="20"/>
          <w:lang w:bidi="it-IT"/>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p>
    <w:p w14:paraId="3F477E48" w14:textId="77777777" w:rsidR="000F72CD" w:rsidRDefault="000F72CD" w:rsidP="000F72CD">
      <w:pPr>
        <w:numPr>
          <w:ilvl w:val="0"/>
          <w:numId w:val="3"/>
        </w:numPr>
        <w:spacing w:before="119" w:after="62"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che intende ricorrere alla cooptazione dell'impresa 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34C47935"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 di gara.</w:t>
      </w:r>
    </w:p>
    <w:p w14:paraId="706AB30E" w14:textId="77777777" w:rsidR="000F72CD" w:rsidRDefault="000F72CD" w:rsidP="000F72CD"/>
    <w:p w14:paraId="77CD0B03" w14:textId="77777777" w:rsidR="00E27834" w:rsidRDefault="00E27834"/>
    <w:sectPr w:rsidR="00E2783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EA"/>
    <w:rsid w:val="000E3D42"/>
    <w:rsid w:val="000F72CD"/>
    <w:rsid w:val="001065B1"/>
    <w:rsid w:val="00166753"/>
    <w:rsid w:val="002C11EA"/>
    <w:rsid w:val="004834A9"/>
    <w:rsid w:val="006860AA"/>
    <w:rsid w:val="00774F38"/>
    <w:rsid w:val="008F3705"/>
    <w:rsid w:val="00AA33C1"/>
    <w:rsid w:val="00B31E32"/>
    <w:rsid w:val="00B975A2"/>
    <w:rsid w:val="00D870C2"/>
    <w:rsid w:val="00DB64C9"/>
    <w:rsid w:val="00E278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EC8C7"/>
  <w15:chartTrackingRefBased/>
  <w15:docId w15:val="{6D34B6B8-CB28-46CE-9F4C-D4D84F8DA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F72CD"/>
    <w:pPr>
      <w:suppressAutoHyphens/>
      <w:spacing w:line="252" w:lineRule="auto"/>
    </w:pPr>
    <w:rPr>
      <w:rFonts w:ascii="Calibri" w:eastAsia="Calibri" w:hAnsi="Calibri" w:cs="Times New Roman"/>
      <w:lang w:eastAsia="ar-SA"/>
    </w:rPr>
  </w:style>
  <w:style w:type="paragraph" w:styleId="Titolo5">
    <w:name w:val="heading 5"/>
    <w:basedOn w:val="Normale"/>
    <w:next w:val="Normale"/>
    <w:link w:val="Titolo5Carattere"/>
    <w:uiPriority w:val="9"/>
    <w:semiHidden/>
    <w:unhideWhenUsed/>
    <w:qFormat/>
    <w:rsid w:val="000E3D4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nhideWhenUsed/>
    <w:rsid w:val="008F3705"/>
    <w:pPr>
      <w:widowControl w:val="0"/>
      <w:autoSpaceDE w:val="0"/>
      <w:spacing w:after="0" w:line="240" w:lineRule="auto"/>
    </w:pPr>
    <w:rPr>
      <w:rFonts w:ascii="Tahoma" w:eastAsia="Tahoma" w:hAnsi="Tahoma" w:cs="Tahoma"/>
      <w:sz w:val="19"/>
      <w:szCs w:val="19"/>
      <w:lang w:val="en-US"/>
    </w:rPr>
  </w:style>
  <w:style w:type="character" w:customStyle="1" w:styleId="CorpotestoCarattere">
    <w:name w:val="Corpo testo Carattere"/>
    <w:basedOn w:val="Carpredefinitoparagrafo"/>
    <w:link w:val="Corpotesto"/>
    <w:rsid w:val="008F3705"/>
    <w:rPr>
      <w:rFonts w:ascii="Tahoma" w:eastAsia="Tahoma" w:hAnsi="Tahoma" w:cs="Tahoma"/>
      <w:sz w:val="19"/>
      <w:szCs w:val="19"/>
      <w:lang w:val="en-US" w:eastAsia="ar-SA"/>
    </w:rPr>
  </w:style>
  <w:style w:type="character" w:customStyle="1" w:styleId="Titolo5Carattere">
    <w:name w:val="Titolo 5 Carattere"/>
    <w:basedOn w:val="Carpredefinitoparagrafo"/>
    <w:link w:val="Titolo5"/>
    <w:uiPriority w:val="9"/>
    <w:semiHidden/>
    <w:rsid w:val="000E3D42"/>
    <w:rPr>
      <w:rFonts w:asciiTheme="majorHAnsi" w:eastAsiaTheme="majorEastAsia" w:hAnsiTheme="majorHAnsi" w:cstheme="majorBidi"/>
      <w:color w:val="2F5496" w:themeColor="accent1" w:themeShade="BF"/>
      <w:lang w:eastAsia="ar-SA"/>
    </w:rPr>
  </w:style>
  <w:style w:type="character" w:styleId="Collegamentoipertestuale">
    <w:name w:val="Hyperlink"/>
    <w:basedOn w:val="Carpredefinitoparagrafo"/>
    <w:uiPriority w:val="99"/>
    <w:semiHidden/>
    <w:unhideWhenUsed/>
    <w:rsid w:val="004834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062427">
      <w:bodyDiv w:val="1"/>
      <w:marLeft w:val="0"/>
      <w:marRight w:val="0"/>
      <w:marTop w:val="0"/>
      <w:marBottom w:val="0"/>
      <w:divBdr>
        <w:top w:val="none" w:sz="0" w:space="0" w:color="auto"/>
        <w:left w:val="none" w:sz="0" w:space="0" w:color="auto"/>
        <w:bottom w:val="none" w:sz="0" w:space="0" w:color="auto"/>
        <w:right w:val="none" w:sz="0" w:space="0" w:color="auto"/>
      </w:divBdr>
    </w:div>
    <w:div w:id="458038108">
      <w:bodyDiv w:val="1"/>
      <w:marLeft w:val="0"/>
      <w:marRight w:val="0"/>
      <w:marTop w:val="0"/>
      <w:marBottom w:val="0"/>
      <w:divBdr>
        <w:top w:val="none" w:sz="0" w:space="0" w:color="auto"/>
        <w:left w:val="none" w:sz="0" w:space="0" w:color="auto"/>
        <w:bottom w:val="none" w:sz="0" w:space="0" w:color="auto"/>
        <w:right w:val="none" w:sz="0" w:space="0" w:color="auto"/>
      </w:divBdr>
    </w:div>
    <w:div w:id="633024208">
      <w:bodyDiv w:val="1"/>
      <w:marLeft w:val="0"/>
      <w:marRight w:val="0"/>
      <w:marTop w:val="0"/>
      <w:marBottom w:val="0"/>
      <w:divBdr>
        <w:top w:val="none" w:sz="0" w:space="0" w:color="auto"/>
        <w:left w:val="none" w:sz="0" w:space="0" w:color="auto"/>
        <w:bottom w:val="none" w:sz="0" w:space="0" w:color="auto"/>
        <w:right w:val="none" w:sz="0" w:space="0" w:color="auto"/>
      </w:divBdr>
    </w:div>
    <w:div w:id="674918129">
      <w:bodyDiv w:val="1"/>
      <w:marLeft w:val="0"/>
      <w:marRight w:val="0"/>
      <w:marTop w:val="0"/>
      <w:marBottom w:val="0"/>
      <w:divBdr>
        <w:top w:val="none" w:sz="0" w:space="0" w:color="auto"/>
        <w:left w:val="none" w:sz="0" w:space="0" w:color="auto"/>
        <w:bottom w:val="none" w:sz="0" w:space="0" w:color="auto"/>
        <w:right w:val="none" w:sz="0" w:space="0" w:color="auto"/>
      </w:divBdr>
    </w:div>
    <w:div w:id="935985418">
      <w:bodyDiv w:val="1"/>
      <w:marLeft w:val="0"/>
      <w:marRight w:val="0"/>
      <w:marTop w:val="0"/>
      <w:marBottom w:val="0"/>
      <w:divBdr>
        <w:top w:val="none" w:sz="0" w:space="0" w:color="auto"/>
        <w:left w:val="none" w:sz="0" w:space="0" w:color="auto"/>
        <w:bottom w:val="none" w:sz="0" w:space="0" w:color="auto"/>
        <w:right w:val="none" w:sz="0" w:space="0" w:color="auto"/>
      </w:divBdr>
    </w:div>
    <w:div w:id="937176597">
      <w:bodyDiv w:val="1"/>
      <w:marLeft w:val="0"/>
      <w:marRight w:val="0"/>
      <w:marTop w:val="0"/>
      <w:marBottom w:val="0"/>
      <w:divBdr>
        <w:top w:val="none" w:sz="0" w:space="0" w:color="auto"/>
        <w:left w:val="none" w:sz="0" w:space="0" w:color="auto"/>
        <w:bottom w:val="none" w:sz="0" w:space="0" w:color="auto"/>
        <w:right w:val="none" w:sz="0" w:space="0" w:color="auto"/>
      </w:divBdr>
    </w:div>
    <w:div w:id="1019283658">
      <w:bodyDiv w:val="1"/>
      <w:marLeft w:val="0"/>
      <w:marRight w:val="0"/>
      <w:marTop w:val="0"/>
      <w:marBottom w:val="0"/>
      <w:divBdr>
        <w:top w:val="none" w:sz="0" w:space="0" w:color="auto"/>
        <w:left w:val="none" w:sz="0" w:space="0" w:color="auto"/>
        <w:bottom w:val="none" w:sz="0" w:space="0" w:color="auto"/>
        <w:right w:val="none" w:sz="0" w:space="0" w:color="auto"/>
      </w:divBdr>
    </w:div>
    <w:div w:id="1174219915">
      <w:bodyDiv w:val="1"/>
      <w:marLeft w:val="0"/>
      <w:marRight w:val="0"/>
      <w:marTop w:val="0"/>
      <w:marBottom w:val="0"/>
      <w:divBdr>
        <w:top w:val="none" w:sz="0" w:space="0" w:color="auto"/>
        <w:left w:val="none" w:sz="0" w:space="0" w:color="auto"/>
        <w:bottom w:val="none" w:sz="0" w:space="0" w:color="auto"/>
        <w:right w:val="none" w:sz="0" w:space="0" w:color="auto"/>
      </w:divBdr>
    </w:div>
    <w:div w:id="1934822046">
      <w:bodyDiv w:val="1"/>
      <w:marLeft w:val="0"/>
      <w:marRight w:val="0"/>
      <w:marTop w:val="0"/>
      <w:marBottom w:val="0"/>
      <w:divBdr>
        <w:top w:val="none" w:sz="0" w:space="0" w:color="auto"/>
        <w:left w:val="none" w:sz="0" w:space="0" w:color="auto"/>
        <w:bottom w:val="none" w:sz="0" w:space="0" w:color="auto"/>
        <w:right w:val="none" w:sz="0" w:space="0" w:color="auto"/>
      </w:divBdr>
    </w:div>
    <w:div w:id="210634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efettura.it/FILES/AllegatiPag/1207/Protocollo_legalit&#224;__antimafia_PROVINCIA.pdf"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1936</Words>
  <Characters>11037</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Cordani, Giuliana</cp:lastModifiedBy>
  <cp:revision>8</cp:revision>
  <dcterms:created xsi:type="dcterms:W3CDTF">2022-11-07T12:42:00Z</dcterms:created>
  <dcterms:modified xsi:type="dcterms:W3CDTF">2022-12-20T11:22:00Z</dcterms:modified>
</cp:coreProperties>
</file>