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72EF" w14:textId="77777777" w:rsidR="00FA2664" w:rsidRDefault="00FA2664" w:rsidP="00FA2664">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159D2DE1" wp14:editId="49F5D945">
            <wp:extent cx="882650" cy="1105535"/>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105535"/>
                    </a:xfrm>
                    <a:prstGeom prst="rect">
                      <a:avLst/>
                    </a:prstGeom>
                    <a:solidFill>
                      <a:srgbClr val="FFFFFF"/>
                    </a:solidFill>
                    <a:ln>
                      <a:noFill/>
                    </a:ln>
                  </pic:spPr>
                </pic:pic>
              </a:graphicData>
            </a:graphic>
          </wp:inline>
        </w:drawing>
      </w:r>
    </w:p>
    <w:p w14:paraId="272A2E71" w14:textId="77777777" w:rsidR="00FA2664" w:rsidRDefault="00FA2664" w:rsidP="00FA2664">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18446305" w14:textId="77777777" w:rsidR="00FA2664" w:rsidRDefault="00FA2664" w:rsidP="00FA2664">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1297729D" w14:textId="77777777" w:rsidR="00FA2664" w:rsidRDefault="00FA2664" w:rsidP="00FA2664">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5714A290" w14:textId="77777777" w:rsidR="00FA2664" w:rsidRDefault="00FA2664" w:rsidP="00FA2664">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1ACA8F60" w14:textId="497B9F82" w:rsidR="00C1707E" w:rsidRPr="00C1707E" w:rsidRDefault="00C1707E" w:rsidP="00C1707E">
      <w:pPr>
        <w:widowControl/>
        <w:suppressAutoHyphens w:val="0"/>
        <w:autoSpaceDE/>
        <w:spacing w:before="80" w:after="40"/>
        <w:jc w:val="both"/>
        <w:rPr>
          <w:rFonts w:ascii="Tahoma" w:eastAsia="Tahoma" w:hAnsi="Tahoma" w:cs="Tahoma"/>
          <w:b/>
          <w:sz w:val="20"/>
          <w:szCs w:val="20"/>
        </w:rPr>
      </w:pPr>
      <w:r w:rsidRPr="00C1707E">
        <w:rPr>
          <w:rFonts w:ascii="Tahoma" w:eastAsia="Tahoma" w:hAnsi="Tahoma" w:cs="Tahoma"/>
          <w:b/>
          <w:sz w:val="20"/>
          <w:szCs w:val="20"/>
        </w:rPr>
        <w:t xml:space="preserve">PROCEDURA APERTA PER LA CONCLUSIONE DI UN ACCORDO QUADRO PER L’AFFIDAMENTO DI LAVORI, SERVIZI E FORNITURE </w:t>
      </w:r>
      <w:r w:rsidR="000A081A">
        <w:rPr>
          <w:rFonts w:ascii="Tahoma" w:eastAsia="Tahoma" w:hAnsi="Tahoma" w:cs="Tahoma"/>
          <w:b/>
          <w:sz w:val="20"/>
          <w:szCs w:val="20"/>
        </w:rPr>
        <w:t xml:space="preserve">NECESSARIE </w:t>
      </w:r>
      <w:r w:rsidRPr="00C1707E">
        <w:rPr>
          <w:rFonts w:ascii="Tahoma" w:eastAsia="Tahoma" w:hAnsi="Tahoma" w:cs="Tahoma"/>
          <w:b/>
          <w:sz w:val="20"/>
          <w:szCs w:val="20"/>
        </w:rPr>
        <w:t>PER LA MANUTENZIONE ORDINARIA E STRAORDINARIA DELLA RETE VIARIA PROVINCIALE PER IL PERIODO 2023 - 2027.</w:t>
      </w:r>
    </w:p>
    <w:p w14:paraId="19828A57" w14:textId="77777777" w:rsidR="00130F5D" w:rsidRDefault="00130F5D" w:rsidP="00130F5D">
      <w:pPr>
        <w:suppressAutoHyphens w:val="0"/>
        <w:spacing w:after="60"/>
        <w:jc w:val="both"/>
        <w:rPr>
          <w:rFonts w:ascii="Tahoma" w:eastAsia="Tahoma" w:hAnsi="Tahoma" w:cs="Tahoma"/>
          <w:b/>
          <w:sz w:val="20"/>
          <w:szCs w:val="20"/>
        </w:rPr>
      </w:pPr>
      <w:r>
        <w:rPr>
          <w:rFonts w:ascii="Tahoma" w:eastAsia="Tahoma" w:hAnsi="Tahoma" w:cs="Tahoma"/>
          <w:b/>
          <w:sz w:val="20"/>
          <w:szCs w:val="20"/>
        </w:rPr>
        <w:t>CUP LOTTO 1 (AREA OVEST) D86G22000750003, CIG LOTTO 1 (AREA OVEST) 968590774F.</w:t>
      </w:r>
    </w:p>
    <w:p w14:paraId="4001F316" w14:textId="77777777" w:rsidR="00130F5D" w:rsidRDefault="00130F5D" w:rsidP="00130F5D">
      <w:pPr>
        <w:suppressAutoHyphens w:val="0"/>
        <w:spacing w:after="600"/>
        <w:jc w:val="both"/>
        <w:rPr>
          <w:rFonts w:ascii="Tahoma" w:eastAsia="Tahoma" w:hAnsi="Tahoma" w:cs="Tahoma"/>
          <w:b/>
          <w:sz w:val="20"/>
          <w:szCs w:val="20"/>
        </w:rPr>
      </w:pPr>
      <w:r>
        <w:rPr>
          <w:rFonts w:ascii="Tahoma" w:eastAsia="Tahoma" w:hAnsi="Tahoma" w:cs="Tahoma"/>
          <w:b/>
          <w:sz w:val="20"/>
          <w:szCs w:val="20"/>
        </w:rPr>
        <w:t xml:space="preserve">CUP LOTTO 2 (AREA EST) </w:t>
      </w:r>
      <w:r>
        <w:rPr>
          <w:rFonts w:ascii="Tahoma" w:hAnsi="Tahoma" w:cs="Tahoma"/>
          <w:b/>
          <w:color w:val="000000"/>
          <w:sz w:val="20"/>
          <w:szCs w:val="20"/>
          <w:bdr w:val="none" w:sz="0" w:space="0" w:color="auto" w:frame="1"/>
        </w:rPr>
        <w:t>D76G22000480003</w:t>
      </w:r>
      <w:r>
        <w:rPr>
          <w:rFonts w:ascii="Tahoma" w:eastAsia="Tahoma" w:hAnsi="Tahoma" w:cs="Tahoma"/>
          <w:b/>
          <w:sz w:val="20"/>
          <w:szCs w:val="20"/>
        </w:rPr>
        <w:t>, CIG LOTTO 2 (AREA EST) 968595923A.</w:t>
      </w:r>
    </w:p>
    <w:p w14:paraId="0C14AD93" w14:textId="77777777" w:rsidR="00FA2664" w:rsidRDefault="00FA2664" w:rsidP="00FA2664">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053A4E4" w14:textId="77777777" w:rsidR="00FA2664" w:rsidRDefault="00FA2664" w:rsidP="00FA2664">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e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P.IVA………………………..), partecipante alla procedura di cui sopra, in persona del titolare o del suo legale rappresentante o procuratore (si allega al proposito la procura), firmatario del presente Patto, Sig./Sig.a…………..………nato/a a…………………………….(prov. di</w:t>
      </w:r>
      <w:proofErr w:type="gramStart"/>
      <w:r>
        <w:rPr>
          <w:rFonts w:ascii="Tahoma" w:eastAsia="SimSun" w:hAnsi="Tahoma" w:cs="Tahoma"/>
          <w:sz w:val="20"/>
          <w:szCs w:val="20"/>
          <w:lang w:eastAsia="ar-SA" w:bidi="ar-SA"/>
        </w:rPr>
        <w:t xml:space="preserve"> ..</w:t>
      </w:r>
      <w:proofErr w:type="gramEnd"/>
      <w:r>
        <w:rPr>
          <w:rFonts w:ascii="Tahoma" w:eastAsia="SimSun" w:hAnsi="Tahoma" w:cs="Tahoma"/>
          <w:sz w:val="20"/>
          <w:szCs w:val="20"/>
          <w:lang w:eastAsia="ar-SA" w:bidi="ar-SA"/>
        </w:rPr>
        <w:t>) il …/…/……</w:t>
      </w:r>
    </w:p>
    <w:p w14:paraId="73E9730D" w14:textId="77777777" w:rsidR="00FA2664" w:rsidRDefault="00FA2664" w:rsidP="00FA2664">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5DEFAAB7" w14:textId="77777777" w:rsidR="00FA2664" w:rsidRDefault="00FA2664" w:rsidP="00FA2664">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4E750506"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A4E8926" w14:textId="77777777" w:rsidR="00FA2664" w:rsidRDefault="00FA2664" w:rsidP="00FA2664">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31F06C12" w14:textId="77777777" w:rsidR="00FA2664" w:rsidRDefault="00FA2664" w:rsidP="00FA2664">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lastRenderedPageBreak/>
        <w:t>Il vigente Piano Triennale di Prevenzione della Corruzione e della Trasparenza (PTPCT) della Provincia;</w:t>
      </w:r>
    </w:p>
    <w:p w14:paraId="6F6EAC5A"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03D6F348" w14:textId="77777777" w:rsidR="00FA2664" w:rsidRDefault="00FA2664" w:rsidP="00FA2664">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Provvedimento del Presidente della Provincia di Piacenza n. 40 del 28/04/2022,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683FCAED"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7258C1A8"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520A48E2" w14:textId="77777777" w:rsidR="00FA2664" w:rsidRDefault="00FA2664" w:rsidP="00FA2664">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6F9AF3DE" w14:textId="77777777" w:rsidR="00FA2664" w:rsidRDefault="00FA2664" w:rsidP="00FA2664">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268A8FD3" w14:textId="77777777" w:rsidR="00FA2664" w:rsidRDefault="00FA2664" w:rsidP="00FA2664">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2CBC5504" w14:textId="77777777" w:rsidR="00FA2664" w:rsidRDefault="00FA2664" w:rsidP="00FA2664">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5016393E" w14:textId="77777777" w:rsidR="00FA2664" w:rsidRDefault="00FA2664" w:rsidP="00FA2664">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7F9EE19A" w14:textId="77777777" w:rsidR="00FA2664" w:rsidRDefault="00FA2664" w:rsidP="00FA2664">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0D41C83C" w14:textId="77777777" w:rsidR="00FA2664" w:rsidRDefault="00FA2664" w:rsidP="00FA2664">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FAB5FDE" w14:textId="77777777" w:rsidR="00FA2664" w:rsidRDefault="00FA2664" w:rsidP="00FA2664">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5C8998B8" w14:textId="77777777" w:rsidR="00FA2664" w:rsidRDefault="00FA2664" w:rsidP="00FA2664">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25B4B937" w14:textId="77777777" w:rsidR="00FA2664" w:rsidRDefault="00FA2664" w:rsidP="00FA2664">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21323BD0" w14:textId="77777777" w:rsidR="00FA2664" w:rsidRDefault="00FA2664" w:rsidP="00FA2664">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F2D6352" w14:textId="77777777" w:rsidR="00FA2664" w:rsidRDefault="00FA2664" w:rsidP="00FA2664">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2B480294" w14:textId="77777777" w:rsidR="00FA2664" w:rsidRDefault="00FA2664" w:rsidP="00FA2664">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0497ADAD" w14:textId="77777777" w:rsidR="00FA2664" w:rsidRDefault="00FA2664" w:rsidP="00FA2664">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9EE8B61"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5F65F7A8"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65DAC5B1" w14:textId="77777777" w:rsidR="00FA2664" w:rsidRDefault="00FA2664" w:rsidP="00FA2664">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14DEF317"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w:t>
      </w:r>
      <w:r>
        <w:rPr>
          <w:rFonts w:ascii="Tahoma" w:eastAsia="SimSun" w:hAnsi="Tahoma" w:cs="Tahoma"/>
          <w:sz w:val="20"/>
          <w:szCs w:val="20"/>
          <w:lang w:eastAsia="ar-SA" w:bidi="ar-SA"/>
        </w:rPr>
        <w:lastRenderedPageBreak/>
        <w:t>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8208063"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21EA374D"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31583694" w14:textId="77777777" w:rsidR="00FA2664" w:rsidRDefault="00FA2664" w:rsidP="00FA2664">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203288AF"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4DB26EE6"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15558C7"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523BA15C"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54AA22CF"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1E06379E"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F9068C2" w14:textId="77777777" w:rsidR="00FA2664" w:rsidRDefault="00FA2664" w:rsidP="00FA2664">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20FDBCE" w14:textId="77777777" w:rsidR="00FA2664" w:rsidRDefault="00FA2664" w:rsidP="00FA2664">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05703519" w14:textId="77777777" w:rsidR="00FA2664" w:rsidRDefault="00FA2664" w:rsidP="00FA2664">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3CB1A998"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dichiara di essere consapevole che le norme di comportamento per i dipendenti contenute nel Codice di comportamento dei dipendenti pubblici e nel Codice di comportamento dei </w:t>
      </w:r>
      <w:r>
        <w:rPr>
          <w:rFonts w:ascii="Tahoma" w:eastAsia="SimSun" w:hAnsi="Tahoma" w:cs="Tahoma"/>
          <w:sz w:val="20"/>
          <w:szCs w:val="20"/>
          <w:lang w:eastAsia="ar-SA" w:bidi="ar-SA"/>
        </w:rPr>
        <w:lastRenderedPageBreak/>
        <w:t>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 xml:space="preserve">del D.P.R. n° 62/2013, garantendone l’accessibilità a chiunque sul proprio sito istituzionale e si impegna a trasmettere copia dei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Codici ai propri collaboratori.</w:t>
      </w:r>
    </w:p>
    <w:p w14:paraId="06C3F7D3"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70717B2" w14:textId="77777777" w:rsidR="00FA2664" w:rsidRDefault="00FA2664" w:rsidP="00FA2664">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5624CA6D" w14:textId="77777777" w:rsidR="00FA2664" w:rsidRDefault="00FA2664" w:rsidP="00FA2664">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5C768B5E" w14:textId="77777777" w:rsidR="00FA2664" w:rsidRDefault="00FA2664" w:rsidP="00FA2664">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ACD71D6"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4694ECAB"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5A48325D"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1EC0F640"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6BB3AE45" w14:textId="77777777" w:rsidR="00FA2664" w:rsidRDefault="00FA2664" w:rsidP="00FA2664">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67316FAC" w14:textId="77777777" w:rsidR="00FA2664" w:rsidRDefault="00FA2664" w:rsidP="00FA2664">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6E95F4D2"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09DE063E"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25A22602"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risoluzione espressa del contratto ai sensi dell’art. 1456 del </w:t>
      </w:r>
      <w:proofErr w:type="gramStart"/>
      <w:r>
        <w:rPr>
          <w:rFonts w:ascii="Tahoma" w:eastAsia="SimSun" w:hAnsi="Tahoma" w:cs="Tahoma"/>
          <w:sz w:val="20"/>
          <w:szCs w:val="20"/>
          <w:lang w:eastAsia="ar-SA" w:bidi="ar-SA"/>
        </w:rPr>
        <w:t>Codice Civile</w:t>
      </w:r>
      <w:proofErr w:type="gramEnd"/>
      <w:r>
        <w:rPr>
          <w:rFonts w:ascii="Tahoma" w:eastAsia="SimSun" w:hAnsi="Tahoma" w:cs="Tahoma"/>
          <w:sz w:val="20"/>
          <w:szCs w:val="20"/>
          <w:lang w:eastAsia="ar-SA" w:bidi="ar-SA"/>
        </w:rPr>
        <w:t>,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898D804" w14:textId="77777777" w:rsidR="00FA2664" w:rsidRDefault="00FA2664" w:rsidP="00FA2664">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inadempimento dell’obbligo di dare comunicazione tempestiva alla Provincia e alla Prefettura di </w:t>
      </w:r>
      <w:r>
        <w:rPr>
          <w:rFonts w:ascii="Tahoma" w:eastAsia="SimSun" w:hAnsi="Tahoma" w:cs="Tahoma"/>
          <w:sz w:val="20"/>
          <w:szCs w:val="20"/>
          <w:lang w:eastAsia="ar-SA" w:bidi="ar-SA"/>
        </w:rPr>
        <w:lastRenderedPageBreak/>
        <w:t>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7AA4019E" w14:textId="77777777" w:rsidR="00FA2664" w:rsidRDefault="00FA2664" w:rsidP="00FA2664">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00DF0762"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072AED2F"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4D9C87E"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01ED5365"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08A4FBB6"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3C591ED1"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420018C3" w14:textId="77777777" w:rsidR="00FA2664" w:rsidRDefault="00FA2664" w:rsidP="00FA2664">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18C2C5D0"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32B6F4B" w14:textId="77777777" w:rsidR="00FA2664" w:rsidRDefault="00FA2664" w:rsidP="00FA2664">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34594299"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F5CC3D2" w14:textId="77777777" w:rsidR="00FA2664" w:rsidRDefault="00FA2664" w:rsidP="00FA2664">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4D130C6"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6848DB77" w14:textId="77777777" w:rsidR="00FA2664" w:rsidRDefault="00FA2664" w:rsidP="00FA2664">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4E1865A2"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18FFC5EE" w14:textId="77777777" w:rsidR="00FA2664" w:rsidRDefault="00FA2664" w:rsidP="00FA2664">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FA2664" w14:paraId="70C6098E" w14:textId="77777777" w:rsidTr="00E55850">
        <w:trPr>
          <w:trHeight w:val="1410"/>
        </w:trPr>
        <w:tc>
          <w:tcPr>
            <w:tcW w:w="4876" w:type="dxa"/>
            <w:vAlign w:val="center"/>
            <w:hideMark/>
          </w:tcPr>
          <w:p w14:paraId="2758F947" w14:textId="77777777" w:rsidR="00FA2664" w:rsidRDefault="00FA2664" w:rsidP="00E55850">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lastRenderedPageBreak/>
              <w:t xml:space="preserve">per la Provincia di Piacenza </w:t>
            </w:r>
          </w:p>
          <w:p w14:paraId="1B5FED04" w14:textId="77777777" w:rsidR="00FA2664" w:rsidRDefault="00FA2664" w:rsidP="00E55850">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A146C39" w14:textId="77777777" w:rsidR="00FA2664" w:rsidRDefault="00FA2664" w:rsidP="00E55850">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Davide Marenghi</w:t>
            </w:r>
          </w:p>
        </w:tc>
        <w:tc>
          <w:tcPr>
            <w:tcW w:w="4876" w:type="dxa"/>
            <w:vAlign w:val="center"/>
            <w:hideMark/>
          </w:tcPr>
          <w:p w14:paraId="0C88A246" w14:textId="77777777" w:rsidR="00FA2664" w:rsidRDefault="00FA2664" w:rsidP="00E55850">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FA2664" w14:paraId="7A1A4955" w14:textId="77777777" w:rsidTr="00E55850">
        <w:tc>
          <w:tcPr>
            <w:tcW w:w="4876" w:type="dxa"/>
            <w:vAlign w:val="center"/>
            <w:hideMark/>
          </w:tcPr>
          <w:p w14:paraId="78697A47" w14:textId="77777777" w:rsidR="00FA2664" w:rsidRDefault="00FA2664" w:rsidP="00E55850">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0184F301" w14:textId="77777777" w:rsidR="00FA2664" w:rsidRDefault="00FA2664" w:rsidP="00E55850">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646B0E8E" w14:textId="77777777" w:rsidR="00FA2664" w:rsidRDefault="00FA2664" w:rsidP="00E55850">
            <w:pPr>
              <w:spacing w:line="480" w:lineRule="auto"/>
              <w:jc w:val="center"/>
              <w:rPr>
                <w:lang w:eastAsia="en-US"/>
              </w:rPr>
            </w:pPr>
            <w:r>
              <w:rPr>
                <w:rFonts w:ascii="Tahoma" w:eastAsia="SimSun" w:hAnsi="Tahoma" w:cs="Tahoma"/>
                <w:b/>
                <w:bCs/>
                <w:sz w:val="20"/>
                <w:szCs w:val="20"/>
                <w:lang w:eastAsia="ar-SA" w:bidi="ar-SA"/>
              </w:rPr>
              <w:t xml:space="preserve">       ......................................................</w:t>
            </w:r>
          </w:p>
        </w:tc>
      </w:tr>
    </w:tbl>
    <w:p w14:paraId="5D7C2ED3" w14:textId="77777777" w:rsidR="00FA2664" w:rsidRDefault="00FA2664" w:rsidP="00FA2664">
      <w:pPr>
        <w:spacing w:line="340" w:lineRule="atLeast"/>
        <w:jc w:val="both"/>
      </w:pPr>
    </w:p>
    <w:p w14:paraId="001D32B1" w14:textId="77777777" w:rsidR="00FA2664" w:rsidRDefault="00FA2664" w:rsidP="00FA2664"/>
    <w:p w14:paraId="7B2E6233" w14:textId="77777777" w:rsidR="00FA2664" w:rsidRDefault="00FA2664" w:rsidP="00FA2664"/>
    <w:p w14:paraId="3D7A3DAF" w14:textId="77777777" w:rsidR="00FA2664" w:rsidRDefault="00FA2664" w:rsidP="00FA2664"/>
    <w:p w14:paraId="0987D256" w14:textId="77777777" w:rsidR="003968AE" w:rsidRDefault="003968AE"/>
    <w:sectPr w:rsidR="003968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06736122">
    <w:abstractNumId w:val="4"/>
  </w:num>
  <w:num w:numId="2" w16cid:durableId="895317212">
    <w:abstractNumId w:val="6"/>
  </w:num>
  <w:num w:numId="3" w16cid:durableId="886258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18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931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74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08988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188180328">
    <w:abstractNumId w:val="8"/>
  </w:num>
  <w:num w:numId="9" w16cid:durableId="12846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64"/>
    <w:rsid w:val="000A081A"/>
    <w:rsid w:val="00130F5D"/>
    <w:rsid w:val="003968AE"/>
    <w:rsid w:val="00C1707E"/>
    <w:rsid w:val="00FA2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77C9"/>
  <w15:chartTrackingRefBased/>
  <w15:docId w15:val="{00102A96-8A20-42B3-AABF-8DCE6744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2664"/>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17827</Characters>
  <Application>Microsoft Office Word</Application>
  <DocSecurity>0</DocSecurity>
  <Lines>148</Lines>
  <Paragraphs>41</Paragraphs>
  <ScaleCrop>false</ScaleCrop>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4</cp:revision>
  <dcterms:created xsi:type="dcterms:W3CDTF">2023-02-13T09:21:00Z</dcterms:created>
  <dcterms:modified xsi:type="dcterms:W3CDTF">2023-03-01T14:18:00Z</dcterms:modified>
</cp:coreProperties>
</file>