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7BB878F" w14:textId="2244E736" w:rsidR="00D932FA" w:rsidRDefault="00FB472B" w:rsidP="00D932FA">
      <w:pPr>
        <w:overflowPunct w:val="0"/>
        <w:spacing w:before="170" w:after="170" w:line="340" w:lineRule="atLeast"/>
        <w:ind w:left="6" w:hanging="6"/>
        <w:jc w:val="both"/>
        <w:rPr>
          <w:rFonts w:ascii="Tahoma" w:eastAsia="SimSun" w:hAnsi="Tahoma" w:cs="Tahoma"/>
          <w:b/>
          <w:bCs/>
          <w:sz w:val="28"/>
          <w:szCs w:val="28"/>
          <w:u w:val="single"/>
          <w:lang w:eastAsia="ar-SA" w:bidi="ar-SA"/>
        </w:rPr>
      </w:pPr>
      <w:r w:rsidRPr="00FB472B">
        <w:rPr>
          <w:rFonts w:ascii="Tahoma" w:hAnsi="Tahoma" w:cs="Tahoma"/>
          <w:b/>
          <w:bCs/>
          <w:sz w:val="20"/>
          <w:szCs w:val="20"/>
          <w:lang w:val="de-DE"/>
        </w:rPr>
        <w:t xml:space="preserve">PROCEDURA APERTA PER L’AFFIDAMENTO DEI LAVORI DI CUI AL PROGETTO DENOMINATO “STRADA PROVINCIALE N. 12 DI GENOVA. RIORGANIZZAZIONE DELL'INTERSEZIONE CON LA STRADA PROVINCIALE N. 31 SALSEDIANA, NEL TERRITORIO DEL COMUNE DI ALSENO.” CUP: D97H19002650001 [COD. INTERVENTO 637] – CIG: </w:t>
      </w:r>
      <w:r w:rsidR="00811607" w:rsidRPr="00811607">
        <w:rPr>
          <w:rFonts w:ascii="Tahoma" w:hAnsi="Tahoma" w:cs="Tahoma"/>
          <w:b/>
          <w:bCs/>
          <w:sz w:val="20"/>
          <w:szCs w:val="20"/>
          <w:lang w:val="de-DE"/>
        </w:rPr>
        <w:t>9321476556</w:t>
      </w:r>
      <w:r w:rsidR="00D932FA">
        <w:rPr>
          <w:rFonts w:ascii="Tahoma" w:hAnsi="Tahoma" w:cs="Tahoma"/>
          <w:b/>
          <w:bCs/>
          <w:sz w:val="20"/>
          <w:szCs w:val="20"/>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56158E84"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25134E" w:rsidRPr="0025134E">
        <w:rPr>
          <w:rFonts w:ascii="Tahoma" w:eastAsia="SimSun" w:hAnsi="Tahoma" w:cs="Tahoma"/>
          <w:sz w:val="20"/>
          <w:szCs w:val="20"/>
          <w:lang w:eastAsia="ar-SA" w:bidi="ar-SA"/>
        </w:rPr>
        <w:t>adottato con Provvedimento del Presidente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4883161">
    <w:abstractNumId w:val="0"/>
  </w:num>
  <w:num w:numId="2" w16cid:durableId="446238470">
    <w:abstractNumId w:val="1"/>
  </w:num>
  <w:num w:numId="3" w16cid:durableId="46493050">
    <w:abstractNumId w:val="2"/>
  </w:num>
  <w:num w:numId="4" w16cid:durableId="2017271469">
    <w:abstractNumId w:val="3"/>
  </w:num>
  <w:num w:numId="5" w16cid:durableId="1329677173">
    <w:abstractNumId w:val="8"/>
  </w:num>
  <w:num w:numId="6" w16cid:durableId="1789662856">
    <w:abstractNumId w:val="4"/>
  </w:num>
  <w:num w:numId="7" w16cid:durableId="410739380">
    <w:abstractNumId w:val="6"/>
  </w:num>
  <w:num w:numId="8" w16cid:durableId="1461261848">
    <w:abstractNumId w:val="5"/>
  </w:num>
  <w:num w:numId="9" w16cid:durableId="187318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2300F1"/>
    <w:rsid w:val="0025134E"/>
    <w:rsid w:val="00811607"/>
    <w:rsid w:val="00A6123F"/>
    <w:rsid w:val="00BD13CE"/>
    <w:rsid w:val="00D932FA"/>
    <w:rsid w:val="00E27834"/>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3110</Words>
  <Characters>17730</Characters>
  <Application>Microsoft Office Word</Application>
  <DocSecurity>0</DocSecurity>
  <Lines>147</Lines>
  <Paragraphs>41</Paragraphs>
  <ScaleCrop>false</ScaleCrop>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7</cp:revision>
  <dcterms:created xsi:type="dcterms:W3CDTF">2022-02-11T13:52:00Z</dcterms:created>
  <dcterms:modified xsi:type="dcterms:W3CDTF">2022-07-13T08:29:00Z</dcterms:modified>
</cp:coreProperties>
</file>