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9A65" w14:textId="77777777"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669F828E" wp14:editId="10606EFC">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6C1FE4CA"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1E98F9E5"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6DB777DE"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327E69E6"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36B165E9" w14:textId="5913515D" w:rsidR="00EE1199" w:rsidRDefault="00973816" w:rsidP="00801774">
      <w:pPr>
        <w:overflowPunct w:val="0"/>
        <w:spacing w:before="170" w:after="170" w:line="340" w:lineRule="atLeast"/>
        <w:ind w:left="6" w:hanging="6"/>
        <w:jc w:val="both"/>
        <w:rPr>
          <w:rFonts w:ascii="Tahoma" w:eastAsia="SimSun" w:hAnsi="Tahoma" w:cs="Tahoma"/>
          <w:b/>
          <w:bCs/>
          <w:sz w:val="28"/>
          <w:szCs w:val="28"/>
          <w:u w:val="single"/>
          <w:lang w:eastAsia="ar-SA" w:bidi="ar-SA"/>
        </w:rPr>
      </w:pPr>
      <w:r w:rsidRPr="00973816">
        <w:rPr>
          <w:rFonts w:ascii="Tahoma" w:hAnsi="Tahoma" w:cs="Tahoma"/>
          <w:b/>
          <w:bCs/>
          <w:sz w:val="20"/>
          <w:szCs w:val="20"/>
        </w:rPr>
        <w:t xml:space="preserve">PROCEDURA APERTA PER </w:t>
      </w:r>
      <w:r w:rsidR="000C6117" w:rsidRPr="000C6117">
        <w:rPr>
          <w:rFonts w:ascii="Tahoma" w:hAnsi="Tahoma" w:cs="Tahoma"/>
          <w:b/>
          <w:bCs/>
          <w:sz w:val="20"/>
          <w:szCs w:val="20"/>
        </w:rPr>
        <w:t>L’AFFIDAMENTO DEI LAVORI DI CUI AL PROGETTO DENOMINATO “</w:t>
      </w:r>
      <w:r w:rsidR="000C6117" w:rsidRPr="000C6117">
        <w:rPr>
          <w:rFonts w:ascii="Tahoma" w:hAnsi="Tahoma" w:cs="Tahoma"/>
          <w:b/>
          <w:bCs/>
          <w:sz w:val="20"/>
          <w:szCs w:val="20"/>
          <w:lang w:val="en-US"/>
        </w:rPr>
        <w:t>STRADA PROVINCIALE N. 65 DI CALDAROLA. LAVORI DI CONSOLIDAMENTO DEL CORPO STRADALE E PAVIMENTAZIONE NEL TRATTO IN COMUNE DI PIOZZANO. CUP: D57H21002840004.</w:t>
      </w:r>
      <w:r w:rsidR="000C6117" w:rsidRPr="000C6117">
        <w:rPr>
          <w:rFonts w:ascii="Tahoma" w:hAnsi="Tahoma" w:cs="Tahoma"/>
          <w:b/>
          <w:bCs/>
          <w:sz w:val="20"/>
          <w:szCs w:val="20"/>
        </w:rPr>
        <w:t xml:space="preserve">” CIG </w:t>
      </w:r>
      <w:r w:rsidR="00D94BD3" w:rsidRPr="00D94BD3">
        <w:rPr>
          <w:rFonts w:ascii="Tahoma" w:hAnsi="Tahoma" w:cs="Tahoma"/>
          <w:b/>
          <w:bCs/>
          <w:sz w:val="20"/>
          <w:szCs w:val="20"/>
        </w:rPr>
        <w:t>8932515092</w:t>
      </w:r>
      <w:r w:rsidR="005F6F7B">
        <w:rPr>
          <w:rFonts w:ascii="Tahoma" w:hAnsi="Tahoma" w:cs="Tahoma"/>
          <w:b/>
          <w:bCs/>
          <w:sz w:val="20"/>
          <w:szCs w:val="20"/>
        </w:rPr>
        <w:t>.</w:t>
      </w:r>
    </w:p>
    <w:p w14:paraId="4E9F6ED0" w14:textId="77777777"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556B133A" w14:textId="77777777"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CD86F8"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72BF84F9"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85D3D18"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6BFD8647"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78153359" w14:textId="77777777"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14:paraId="605FCA5A"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5E2C39F"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77779E4C"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300CD42"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0CF3C5D"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94B7806"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5F487FE1"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7B5EC4C2"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7DAF4780"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4856F19C"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w:t>
      </w:r>
      <w:r>
        <w:rPr>
          <w:rFonts w:ascii="Tahoma" w:eastAsia="SimSun" w:hAnsi="Tahoma" w:cs="Tahoma"/>
          <w:sz w:val="20"/>
          <w:szCs w:val="20"/>
          <w:lang w:eastAsia="ar-SA" w:bidi="ar-SA"/>
        </w:rPr>
        <w:lastRenderedPageBreak/>
        <w:t>comportamenti ai principi di lealtà, trasparenza e correttezza, nonché delle sanzioni previste a loro carico in caso di mancato rispetto delle sue disposizioni.</w:t>
      </w:r>
    </w:p>
    <w:p w14:paraId="4A7FCE1B"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2412B2E2"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7C65501B"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55BF0B00"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1D15EE1F"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6D5CDD0C"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1E9901A2"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EE06975"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323AA3E4"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0EAE3B5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4D28614F"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2129FD9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62F1BD21"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6EF174D3"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01BBAB0"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02D5CB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5EEBE37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1A82CF90"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276184AE"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632BD7FB"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w:t>
      </w:r>
      <w:r>
        <w:rPr>
          <w:rFonts w:ascii="Tahoma" w:eastAsia="SimSun" w:hAnsi="Tahoma" w:cs="Tahoma"/>
          <w:sz w:val="20"/>
          <w:szCs w:val="20"/>
          <w:lang w:eastAsia="ar-SA" w:bidi="ar-SA"/>
        </w:rPr>
        <w:lastRenderedPageBreak/>
        <w:t>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2409B10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22D9CC50"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87FE052"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7CCD79A9"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71C13A5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 xml:space="preserve">del D.P.R. n° 62/2013, garantendone l’accessibilità a chiunque sul proprio sito istituzionale e si impegna a trasmettere copia dei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Codici ai propri collaboratori.</w:t>
      </w:r>
    </w:p>
    <w:p w14:paraId="1CE8BFE7"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816CAB9"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D6BF1D4"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01290499"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1DA2060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6BCCEC1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2F8B1021"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04F6A05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w:t>
      </w:r>
      <w:r>
        <w:rPr>
          <w:rFonts w:ascii="Tahoma" w:eastAsia="SimSun" w:hAnsi="Tahoma" w:cs="Tahoma"/>
          <w:sz w:val="20"/>
          <w:szCs w:val="20"/>
          <w:lang w:eastAsia="ar-SA" w:bidi="ar-SA"/>
        </w:rPr>
        <w:lastRenderedPageBreak/>
        <w:t>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04715DEF"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0C2D3BC5"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E5AB2E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388E4CE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462996A8"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risoluzione espressa del contratto ai sensi dell’art. 1456 del </w:t>
      </w:r>
      <w:proofErr w:type="gramStart"/>
      <w:r>
        <w:rPr>
          <w:rFonts w:ascii="Tahoma" w:eastAsia="SimSun" w:hAnsi="Tahoma" w:cs="Tahoma"/>
          <w:sz w:val="20"/>
          <w:szCs w:val="20"/>
          <w:lang w:eastAsia="ar-SA" w:bidi="ar-SA"/>
        </w:rPr>
        <w:t>Codice Civile</w:t>
      </w:r>
      <w:proofErr w:type="gramEnd"/>
      <w:r>
        <w:rPr>
          <w:rFonts w:ascii="Tahoma" w:eastAsia="SimSun" w:hAnsi="Tahoma" w:cs="Tahoma"/>
          <w:sz w:val="20"/>
          <w:szCs w:val="20"/>
          <w:lang w:eastAsia="ar-SA" w:bidi="ar-SA"/>
        </w:rPr>
        <w:t>,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44858937"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51EDE92F"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2F1780A0"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33AE37B8"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3D9C4D29"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048E407"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7760BAFA"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54F2123D"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65B28D18"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0DDBB0E2"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401D7570" w14:textId="77777777"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452F3163"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3E868BCA"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4AADA2A4"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02455AC1"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39B7442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46BF56A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5BD79AA0" w14:textId="77777777" w:rsidTr="00140535">
        <w:trPr>
          <w:trHeight w:val="1410"/>
        </w:trPr>
        <w:tc>
          <w:tcPr>
            <w:tcW w:w="4876" w:type="dxa"/>
            <w:shd w:val="clear" w:color="auto" w:fill="auto"/>
            <w:vAlign w:val="center"/>
          </w:tcPr>
          <w:p w14:paraId="356D2402"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70B2F8D"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432C115C"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0CA2C7CC" w14:textId="3F364C46" w:rsidR="00054080" w:rsidRDefault="00F55574" w:rsidP="00140535">
            <w:pPr>
              <w:spacing w:line="340" w:lineRule="atLeast"/>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per l’operatore economico …..........................</w:t>
            </w:r>
            <w:r>
              <w:rPr>
                <w:rFonts w:ascii="Tahoma" w:eastAsia="SimSun" w:hAnsi="Tahoma" w:cs="Tahoma"/>
                <w:b/>
                <w:bCs/>
                <w:sz w:val="20"/>
                <w:szCs w:val="20"/>
                <w:lang w:eastAsia="ar-SA" w:bidi="ar-SA"/>
              </w:rPr>
              <w:t>........</w:t>
            </w:r>
          </w:p>
        </w:tc>
      </w:tr>
      <w:tr w:rsidR="00054080" w14:paraId="3C714E7A" w14:textId="77777777" w:rsidTr="00140535">
        <w:tc>
          <w:tcPr>
            <w:tcW w:w="4876" w:type="dxa"/>
            <w:shd w:val="clear" w:color="auto" w:fill="auto"/>
            <w:vAlign w:val="center"/>
          </w:tcPr>
          <w:p w14:paraId="7953CAD5"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1E993E00" w14:textId="2D12BE4D" w:rsidR="00054080" w:rsidRDefault="00F55574"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Il titolare/rappresentante legale</w:t>
            </w:r>
          </w:p>
          <w:p w14:paraId="77EC39C6" w14:textId="0E72DDC2" w:rsidR="00054080" w:rsidRDefault="00F55574" w:rsidP="00140535">
            <w:pPr>
              <w:spacing w:line="480" w:lineRule="auto"/>
              <w:jc w:val="center"/>
            </w:pPr>
            <w:r>
              <w:rPr>
                <w:rFonts w:ascii="Tahoma" w:eastAsia="SimSun" w:hAnsi="Tahoma" w:cs="Tahoma"/>
                <w:b/>
                <w:bCs/>
                <w:sz w:val="20"/>
                <w:szCs w:val="20"/>
                <w:lang w:eastAsia="ar-SA" w:bidi="ar-SA"/>
              </w:rPr>
              <w:t xml:space="preserve">       </w:t>
            </w:r>
            <w:r w:rsidR="00054080">
              <w:rPr>
                <w:rFonts w:ascii="Tahoma" w:eastAsia="SimSun" w:hAnsi="Tahoma" w:cs="Tahoma"/>
                <w:b/>
                <w:bCs/>
                <w:sz w:val="20"/>
                <w:szCs w:val="20"/>
                <w:lang w:eastAsia="ar-SA" w:bidi="ar-SA"/>
              </w:rPr>
              <w:t>......................................................</w:t>
            </w:r>
          </w:p>
        </w:tc>
      </w:tr>
    </w:tbl>
    <w:p w14:paraId="61DC6760" w14:textId="77777777" w:rsidR="00054080" w:rsidRDefault="00054080" w:rsidP="00054080">
      <w:pPr>
        <w:spacing w:line="340" w:lineRule="atLeast"/>
        <w:jc w:val="both"/>
      </w:pPr>
    </w:p>
    <w:p w14:paraId="5F76AB89" w14:textId="77777777"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78AD" w14:textId="77777777" w:rsidR="00E72045" w:rsidRDefault="00E72045">
      <w:r>
        <w:separator/>
      </w:r>
    </w:p>
  </w:endnote>
  <w:endnote w:type="continuationSeparator" w:id="0">
    <w:p w14:paraId="233645DB" w14:textId="77777777" w:rsidR="00E72045" w:rsidRDefault="00E7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FCC4"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27A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6A40" w14:textId="77777777" w:rsidR="00E72045" w:rsidRDefault="00E72045">
      <w:r>
        <w:separator/>
      </w:r>
    </w:p>
  </w:footnote>
  <w:footnote w:type="continuationSeparator" w:id="0">
    <w:p w14:paraId="5840C60E" w14:textId="77777777" w:rsidR="00E72045" w:rsidRDefault="00E72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C6117"/>
    <w:rsid w:val="0010179D"/>
    <w:rsid w:val="001147D1"/>
    <w:rsid w:val="001E1F02"/>
    <w:rsid w:val="003D20D6"/>
    <w:rsid w:val="004D1CA0"/>
    <w:rsid w:val="00577C18"/>
    <w:rsid w:val="0058582F"/>
    <w:rsid w:val="005F6F7B"/>
    <w:rsid w:val="0071566B"/>
    <w:rsid w:val="00801774"/>
    <w:rsid w:val="008519E1"/>
    <w:rsid w:val="00855795"/>
    <w:rsid w:val="008C7832"/>
    <w:rsid w:val="0095499F"/>
    <w:rsid w:val="00973816"/>
    <w:rsid w:val="00AB24CA"/>
    <w:rsid w:val="00C77062"/>
    <w:rsid w:val="00C91805"/>
    <w:rsid w:val="00D355D5"/>
    <w:rsid w:val="00D77DF4"/>
    <w:rsid w:val="00D94BD3"/>
    <w:rsid w:val="00E72045"/>
    <w:rsid w:val="00EE1199"/>
    <w:rsid w:val="00F55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2CC0"/>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3158</Words>
  <Characters>18003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Sartori, Tania</cp:lastModifiedBy>
  <cp:revision>18</cp:revision>
  <dcterms:created xsi:type="dcterms:W3CDTF">2020-12-07T12:58:00Z</dcterms:created>
  <dcterms:modified xsi:type="dcterms:W3CDTF">2021-10-07T07:18:00Z</dcterms:modified>
</cp:coreProperties>
</file>